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91" w:rsidRDefault="00132BF1" w:rsidP="00B2452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905A91"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9526</wp:posOffset>
            </wp:positionV>
            <wp:extent cx="1304925" cy="1059698"/>
            <wp:effectExtent l="0" t="0" r="0" b="7620"/>
            <wp:wrapNone/>
            <wp:docPr id="2053" name="Picture 6" descr="logo pss-veliki LATINICA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6D1C6610-0423-4246-821D-A1869182DD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6" descr="logo pss-veliki LATINICA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id="{6D1C6610-0423-4246-821D-A1869182DDD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42" cy="107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A91">
        <w:rPr>
          <w:rFonts w:ascii="Tahoma" w:hAnsi="Tahoma" w:cs="Tahoma"/>
          <w:b/>
          <w:bCs/>
          <w:sz w:val="28"/>
          <w:szCs w:val="28"/>
        </w:rPr>
        <w:t xml:space="preserve">                                                      </w:t>
      </w:r>
    </w:p>
    <w:p w:rsidR="00132BF1" w:rsidRPr="00B24528" w:rsidRDefault="00905A91" w:rsidP="00132BF1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                   </w:t>
      </w:r>
      <w:r w:rsidRPr="00B24528">
        <w:rPr>
          <w:rFonts w:ascii="Tahoma" w:hAnsi="Tahoma" w:cs="Tahoma"/>
          <w:b/>
          <w:bCs/>
          <w:sz w:val="28"/>
          <w:szCs w:val="28"/>
        </w:rPr>
        <w:t>Poljoprivredna savetodavna i stručna služba</w:t>
      </w:r>
    </w:p>
    <w:p w:rsidR="00905A91" w:rsidRPr="00B24528" w:rsidRDefault="00132BF1" w:rsidP="00132BF1">
      <w:pPr>
        <w:rPr>
          <w:rFonts w:ascii="Tahoma" w:hAnsi="Tahoma" w:cs="Tahoma"/>
          <w:b/>
          <w:bCs/>
          <w:sz w:val="28"/>
          <w:szCs w:val="28"/>
        </w:rPr>
      </w:pPr>
      <w:r w:rsidRPr="00B24528">
        <w:rPr>
          <w:rFonts w:ascii="Tahoma" w:hAnsi="Tahoma" w:cs="Tahoma"/>
          <w:b/>
          <w:bCs/>
          <w:sz w:val="28"/>
          <w:szCs w:val="28"/>
        </w:rPr>
        <w:t xml:space="preserve">                                 </w:t>
      </w:r>
      <w:r w:rsidR="00B24528">
        <w:rPr>
          <w:rFonts w:ascii="Tahoma" w:hAnsi="Tahoma" w:cs="Tahoma"/>
          <w:b/>
          <w:bCs/>
          <w:sz w:val="28"/>
          <w:szCs w:val="28"/>
        </w:rPr>
        <w:t xml:space="preserve">                           </w:t>
      </w:r>
      <w:r w:rsidRPr="00B24528">
        <w:rPr>
          <w:rFonts w:ascii="Tahoma" w:hAnsi="Tahoma" w:cs="Tahoma"/>
          <w:b/>
          <w:bCs/>
          <w:sz w:val="28"/>
          <w:szCs w:val="28"/>
        </w:rPr>
        <w:t xml:space="preserve"> </w:t>
      </w:r>
      <w:r w:rsidR="00905A91" w:rsidRPr="00B24528">
        <w:rPr>
          <w:rFonts w:ascii="Tahoma" w:hAnsi="Tahoma" w:cs="Tahoma"/>
          <w:b/>
          <w:bCs/>
          <w:sz w:val="28"/>
          <w:szCs w:val="28"/>
        </w:rPr>
        <w:t>Subotica AD, Subotica</w:t>
      </w:r>
    </w:p>
    <w:p w:rsidR="00905A91" w:rsidRDefault="00905A91" w:rsidP="00905A91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</w:t>
      </w:r>
    </w:p>
    <w:p w:rsidR="00B24528" w:rsidRPr="00220AB6" w:rsidRDefault="00B24528" w:rsidP="00B24528">
      <w:pPr>
        <w:pStyle w:val="Bezrazmaka"/>
        <w:jc w:val="center"/>
        <w:rPr>
          <w:rFonts w:ascii="Tahoma" w:hAnsi="Tahoma" w:cs="Tahoma"/>
          <w:b/>
          <w:bCs/>
          <w:sz w:val="24"/>
          <w:szCs w:val="24"/>
        </w:rPr>
      </w:pPr>
      <w:r w:rsidRPr="00220AB6">
        <w:rPr>
          <w:rFonts w:ascii="Tahoma" w:hAnsi="Tahoma" w:cs="Tahoma"/>
          <w:b/>
          <w:bCs/>
          <w:sz w:val="24"/>
          <w:szCs w:val="24"/>
        </w:rPr>
        <w:t>Stanje nitratnog azota u ze</w:t>
      </w:r>
      <w:r>
        <w:rPr>
          <w:rFonts w:ascii="Tahoma" w:hAnsi="Tahoma" w:cs="Tahoma"/>
          <w:b/>
          <w:bCs/>
          <w:sz w:val="24"/>
          <w:szCs w:val="24"/>
        </w:rPr>
        <w:t>mljištu i prihrana ozimih useva</w:t>
      </w:r>
      <w:r w:rsidR="00A95590">
        <w:rPr>
          <w:rFonts w:ascii="Tahoma" w:hAnsi="Tahoma" w:cs="Tahoma"/>
          <w:b/>
          <w:bCs/>
          <w:sz w:val="24"/>
          <w:szCs w:val="24"/>
        </w:rPr>
        <w:t xml:space="preserve"> 2023</w:t>
      </w:r>
      <w:r w:rsidRPr="00220AB6">
        <w:rPr>
          <w:rFonts w:ascii="Tahoma" w:hAnsi="Tahoma" w:cs="Tahoma"/>
          <w:b/>
          <w:bCs/>
          <w:sz w:val="24"/>
          <w:szCs w:val="24"/>
        </w:rPr>
        <w:t>. godine na području Grada Subotice</w:t>
      </w:r>
    </w:p>
    <w:p w:rsidR="00875ECF" w:rsidRDefault="00875ECF" w:rsidP="00B24528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5C07D6" w:rsidRPr="005C07D6" w:rsidRDefault="005C07D6" w:rsidP="005C07D6">
      <w:pPr>
        <w:pStyle w:val="Pasussalistom"/>
        <w:numPr>
          <w:ilvl w:val="0"/>
          <w:numId w:val="5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Zasejane povr</w:t>
      </w:r>
      <w:r w:rsidR="00A95590">
        <w:rPr>
          <w:rFonts w:ascii="Tahoma" w:hAnsi="Tahoma" w:cs="Tahoma"/>
          <w:b/>
          <w:bCs/>
        </w:rPr>
        <w:t>šine i uslovi setve u jesen 2022</w:t>
      </w:r>
      <w:r>
        <w:rPr>
          <w:rFonts w:ascii="Tahoma" w:hAnsi="Tahoma" w:cs="Tahoma"/>
          <w:b/>
          <w:bCs/>
        </w:rPr>
        <w:t>.</w:t>
      </w:r>
    </w:p>
    <w:p w:rsidR="00735107" w:rsidRDefault="00735107" w:rsidP="004B4B76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Proizvodna 2022. ostaće u analima poljoprivrede upamćena kao jedna od najlošijih proizvodnih godina do sada, zajedno sa 2000., 2003. i 2012. godinom. U tabeli 1. prikazane su padavine u vegetaciji ozimih strnina 2021/2022. godine.</w:t>
      </w:r>
    </w:p>
    <w:p w:rsidR="00735107" w:rsidRDefault="00735107" w:rsidP="004B4B76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Tabela 1.</w:t>
      </w:r>
    </w:p>
    <w:p w:rsidR="00735107" w:rsidRDefault="00735107" w:rsidP="004B4B76">
      <w:pPr>
        <w:pStyle w:val="Bezrazmaka"/>
        <w:ind w:firstLine="708"/>
        <w:jc w:val="both"/>
        <w:rPr>
          <w:rFonts w:ascii="Tahoma" w:hAnsi="Tahoma" w:cs="Tahoma"/>
        </w:rPr>
      </w:pPr>
    </w:p>
    <w:tbl>
      <w:tblPr>
        <w:tblW w:w="10313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788"/>
        <w:gridCol w:w="788"/>
        <w:gridCol w:w="788"/>
        <w:gridCol w:w="789"/>
        <w:gridCol w:w="788"/>
        <w:gridCol w:w="788"/>
        <w:gridCol w:w="789"/>
        <w:gridCol w:w="788"/>
        <w:gridCol w:w="883"/>
        <w:gridCol w:w="883"/>
      </w:tblGrid>
      <w:tr w:rsidR="00735107" w:rsidRPr="00A4714D" w:rsidTr="00AA7A62">
        <w:trPr>
          <w:jc w:val="center"/>
        </w:trPr>
        <w:tc>
          <w:tcPr>
            <w:tcW w:w="2241" w:type="dxa"/>
          </w:tcPr>
          <w:p w:rsidR="00735107" w:rsidRPr="0004543D" w:rsidRDefault="00735107" w:rsidP="00735107">
            <w:pPr>
              <w:pStyle w:val="Bezrazmaka"/>
              <w:jc w:val="center"/>
            </w:pPr>
          </w:p>
        </w:tc>
        <w:tc>
          <w:tcPr>
            <w:tcW w:w="788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X</w:t>
            </w:r>
          </w:p>
        </w:tc>
        <w:tc>
          <w:tcPr>
            <w:tcW w:w="788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XI</w:t>
            </w:r>
          </w:p>
        </w:tc>
        <w:tc>
          <w:tcPr>
            <w:tcW w:w="788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XII</w:t>
            </w:r>
          </w:p>
        </w:tc>
        <w:tc>
          <w:tcPr>
            <w:tcW w:w="789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I</w:t>
            </w:r>
          </w:p>
        </w:tc>
        <w:tc>
          <w:tcPr>
            <w:tcW w:w="788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II</w:t>
            </w:r>
          </w:p>
        </w:tc>
        <w:tc>
          <w:tcPr>
            <w:tcW w:w="788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III</w:t>
            </w:r>
          </w:p>
        </w:tc>
        <w:tc>
          <w:tcPr>
            <w:tcW w:w="789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IV</w:t>
            </w:r>
          </w:p>
        </w:tc>
        <w:tc>
          <w:tcPr>
            <w:tcW w:w="788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V</w:t>
            </w:r>
          </w:p>
        </w:tc>
        <w:tc>
          <w:tcPr>
            <w:tcW w:w="883" w:type="dxa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883" w:type="dxa"/>
            <w:vAlign w:val="center"/>
          </w:tcPr>
          <w:p w:rsidR="00735107" w:rsidRPr="0004543D" w:rsidRDefault="00735107" w:rsidP="00735107">
            <w:pPr>
              <w:pStyle w:val="Bezrazmaka"/>
              <w:jc w:val="center"/>
              <w:rPr>
                <w:b/>
              </w:rPr>
            </w:pPr>
            <w:r w:rsidRPr="0004543D">
              <w:rPr>
                <w:b/>
              </w:rPr>
              <w:t>Σ</w:t>
            </w:r>
          </w:p>
        </w:tc>
      </w:tr>
      <w:tr w:rsidR="00274A64" w:rsidRPr="00A4714D" w:rsidTr="00AA7A62">
        <w:trPr>
          <w:jc w:val="center"/>
        </w:trPr>
        <w:tc>
          <w:tcPr>
            <w:tcW w:w="2241" w:type="dxa"/>
          </w:tcPr>
          <w:p w:rsidR="00274A64" w:rsidRPr="0004543D" w:rsidRDefault="00274A64" w:rsidP="00274A64">
            <w:pPr>
              <w:pStyle w:val="Bezrazmaka"/>
              <w:jc w:val="center"/>
            </w:pPr>
            <w:r w:rsidRPr="0004543D">
              <w:t>Σ      I dekada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  <w:lang w:val="pl-PL"/>
              </w:rPr>
            </w:pPr>
            <w:r w:rsidRPr="009D03D0">
              <w:rPr>
                <w:rFonts w:ascii="Tahoma" w:hAnsi="Tahoma" w:cs="Tahoma"/>
                <w:lang w:val="pl-PL"/>
              </w:rPr>
              <w:t>40,4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23,4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18,8</w:t>
            </w:r>
          </w:p>
        </w:tc>
        <w:tc>
          <w:tcPr>
            <w:tcW w:w="789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0,6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10,4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0,0</w:t>
            </w:r>
          </w:p>
        </w:tc>
        <w:tc>
          <w:tcPr>
            <w:tcW w:w="789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10,0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2,8</w:t>
            </w:r>
          </w:p>
        </w:tc>
        <w:tc>
          <w:tcPr>
            <w:tcW w:w="883" w:type="dxa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14,0</w:t>
            </w:r>
          </w:p>
        </w:tc>
        <w:tc>
          <w:tcPr>
            <w:tcW w:w="883" w:type="dxa"/>
            <w:vMerge w:val="restart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294,0</w:t>
            </w:r>
          </w:p>
        </w:tc>
      </w:tr>
      <w:tr w:rsidR="00274A64" w:rsidRPr="00A4714D" w:rsidTr="00AA7A62">
        <w:trPr>
          <w:jc w:val="center"/>
        </w:trPr>
        <w:tc>
          <w:tcPr>
            <w:tcW w:w="2241" w:type="dxa"/>
          </w:tcPr>
          <w:p w:rsidR="00274A64" w:rsidRPr="0004543D" w:rsidRDefault="00274A64" w:rsidP="00274A64">
            <w:pPr>
              <w:pStyle w:val="Bezrazmaka"/>
              <w:jc w:val="center"/>
            </w:pPr>
            <w:r w:rsidRPr="0004543D">
              <w:t>Σ     II dekada</w:t>
            </w:r>
          </w:p>
        </w:tc>
        <w:tc>
          <w:tcPr>
            <w:tcW w:w="788" w:type="dxa"/>
            <w:vAlign w:val="bottom"/>
          </w:tcPr>
          <w:p w:rsidR="00274A64" w:rsidRPr="00E74715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10,2</w:t>
            </w:r>
          </w:p>
        </w:tc>
        <w:tc>
          <w:tcPr>
            <w:tcW w:w="788" w:type="dxa"/>
            <w:vAlign w:val="bottom"/>
          </w:tcPr>
          <w:p w:rsidR="00274A64" w:rsidRPr="00E74715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1,6</w:t>
            </w:r>
          </w:p>
        </w:tc>
        <w:tc>
          <w:tcPr>
            <w:tcW w:w="788" w:type="dxa"/>
            <w:vAlign w:val="bottom"/>
          </w:tcPr>
          <w:p w:rsidR="00274A64" w:rsidRPr="00E74715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7,8</w:t>
            </w:r>
          </w:p>
        </w:tc>
        <w:tc>
          <w:tcPr>
            <w:tcW w:w="789" w:type="dxa"/>
            <w:vAlign w:val="bottom"/>
          </w:tcPr>
          <w:p w:rsidR="00274A64" w:rsidRPr="00E74715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1,8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3,8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0,2</w:t>
            </w:r>
          </w:p>
        </w:tc>
        <w:tc>
          <w:tcPr>
            <w:tcW w:w="789" w:type="dxa"/>
            <w:vAlign w:val="bottom"/>
          </w:tcPr>
          <w:p w:rsidR="00274A64" w:rsidRPr="00407F16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2,4</w:t>
            </w:r>
          </w:p>
        </w:tc>
        <w:tc>
          <w:tcPr>
            <w:tcW w:w="788" w:type="dxa"/>
            <w:vAlign w:val="bottom"/>
          </w:tcPr>
          <w:p w:rsidR="00274A64" w:rsidRPr="002B5312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0,4</w:t>
            </w:r>
          </w:p>
        </w:tc>
        <w:tc>
          <w:tcPr>
            <w:tcW w:w="883" w:type="dxa"/>
          </w:tcPr>
          <w:p w:rsidR="00274A64" w:rsidRPr="002B5312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1,2</w:t>
            </w:r>
          </w:p>
        </w:tc>
        <w:tc>
          <w:tcPr>
            <w:tcW w:w="883" w:type="dxa"/>
            <w:vMerge/>
            <w:vAlign w:val="center"/>
          </w:tcPr>
          <w:p w:rsidR="00274A64" w:rsidRPr="0004543D" w:rsidRDefault="00274A64" w:rsidP="00274A64">
            <w:pPr>
              <w:pStyle w:val="Bezrazmaka"/>
              <w:jc w:val="right"/>
            </w:pPr>
          </w:p>
        </w:tc>
      </w:tr>
      <w:tr w:rsidR="00274A64" w:rsidRPr="00A4714D" w:rsidTr="00AA7A62">
        <w:trPr>
          <w:jc w:val="center"/>
        </w:trPr>
        <w:tc>
          <w:tcPr>
            <w:tcW w:w="2241" w:type="dxa"/>
          </w:tcPr>
          <w:p w:rsidR="00274A64" w:rsidRPr="0004543D" w:rsidRDefault="00274A64" w:rsidP="00274A64">
            <w:pPr>
              <w:pStyle w:val="Bezrazmaka"/>
              <w:jc w:val="center"/>
            </w:pPr>
            <w:r w:rsidRPr="0004543D">
              <w:t>Σ   III dekada</w:t>
            </w:r>
          </w:p>
        </w:tc>
        <w:tc>
          <w:tcPr>
            <w:tcW w:w="788" w:type="dxa"/>
            <w:vAlign w:val="bottom"/>
          </w:tcPr>
          <w:p w:rsidR="00274A64" w:rsidRPr="00E74715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3,6</w:t>
            </w:r>
          </w:p>
        </w:tc>
        <w:tc>
          <w:tcPr>
            <w:tcW w:w="788" w:type="dxa"/>
            <w:vAlign w:val="bottom"/>
          </w:tcPr>
          <w:p w:rsidR="00274A64" w:rsidRPr="00E74715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26,6</w:t>
            </w:r>
          </w:p>
        </w:tc>
        <w:tc>
          <w:tcPr>
            <w:tcW w:w="788" w:type="dxa"/>
            <w:vAlign w:val="bottom"/>
          </w:tcPr>
          <w:p w:rsidR="00274A64" w:rsidRPr="00E74715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26,8</w:t>
            </w:r>
          </w:p>
        </w:tc>
        <w:tc>
          <w:tcPr>
            <w:tcW w:w="789" w:type="dxa"/>
            <w:vAlign w:val="bottom"/>
          </w:tcPr>
          <w:p w:rsidR="00274A64" w:rsidRPr="00E74715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0,8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7,0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4,8</w:t>
            </w:r>
          </w:p>
        </w:tc>
        <w:tc>
          <w:tcPr>
            <w:tcW w:w="789" w:type="dxa"/>
            <w:vAlign w:val="bottom"/>
          </w:tcPr>
          <w:p w:rsidR="00274A64" w:rsidRPr="00407F16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21,4</w:t>
            </w:r>
          </w:p>
        </w:tc>
        <w:tc>
          <w:tcPr>
            <w:tcW w:w="788" w:type="dxa"/>
            <w:vAlign w:val="bottom"/>
          </w:tcPr>
          <w:p w:rsidR="00274A64" w:rsidRPr="002B5312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34,0</w:t>
            </w:r>
          </w:p>
        </w:tc>
        <w:tc>
          <w:tcPr>
            <w:tcW w:w="883" w:type="dxa"/>
          </w:tcPr>
          <w:p w:rsidR="00274A64" w:rsidRPr="002B5312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19,2</w:t>
            </w:r>
          </w:p>
        </w:tc>
        <w:tc>
          <w:tcPr>
            <w:tcW w:w="883" w:type="dxa"/>
            <w:vMerge/>
            <w:vAlign w:val="center"/>
          </w:tcPr>
          <w:p w:rsidR="00274A64" w:rsidRPr="0004543D" w:rsidRDefault="00274A64" w:rsidP="00274A64">
            <w:pPr>
              <w:pStyle w:val="Bezrazmaka"/>
              <w:jc w:val="right"/>
            </w:pPr>
          </w:p>
        </w:tc>
      </w:tr>
      <w:tr w:rsidR="00274A64" w:rsidRPr="00A4714D" w:rsidTr="00FE7467">
        <w:trPr>
          <w:jc w:val="center"/>
        </w:trPr>
        <w:tc>
          <w:tcPr>
            <w:tcW w:w="2241" w:type="dxa"/>
          </w:tcPr>
          <w:p w:rsidR="00274A64" w:rsidRPr="0004543D" w:rsidRDefault="00274A64" w:rsidP="00274A64">
            <w:pPr>
              <w:pStyle w:val="Bezrazmaka"/>
              <w:jc w:val="center"/>
            </w:pPr>
            <w:r w:rsidRPr="0004543D">
              <w:t>Σ      mesečna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  <w:rPr>
                <w:rFonts w:ascii="Calibri" w:hAnsi="Calibri" w:cs="Calibri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54,2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  <w:rPr>
                <w:rFonts w:ascii="Calibri" w:hAnsi="Calibri" w:cs="Calibri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51,6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  <w:rPr>
                <w:rFonts w:ascii="Calibri" w:hAnsi="Calibri" w:cs="Calibri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53,4</w:t>
            </w:r>
          </w:p>
        </w:tc>
        <w:tc>
          <w:tcPr>
            <w:tcW w:w="789" w:type="dxa"/>
            <w:vAlign w:val="bottom"/>
          </w:tcPr>
          <w:p w:rsidR="00274A64" w:rsidRDefault="00274A64" w:rsidP="00274A64">
            <w:pPr>
              <w:pStyle w:val="Bezrazmaka"/>
              <w:jc w:val="right"/>
              <w:rPr>
                <w:rFonts w:ascii="Calibri" w:hAnsi="Calibri" w:cs="Calibri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3,2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  <w:rPr>
                <w:rFonts w:ascii="Calibri" w:hAnsi="Calibri" w:cs="Calibri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21,2</w:t>
            </w:r>
          </w:p>
        </w:tc>
        <w:tc>
          <w:tcPr>
            <w:tcW w:w="788" w:type="dxa"/>
            <w:vAlign w:val="bottom"/>
          </w:tcPr>
          <w:p w:rsidR="00274A64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5,0</w:t>
            </w:r>
          </w:p>
        </w:tc>
        <w:tc>
          <w:tcPr>
            <w:tcW w:w="789" w:type="dxa"/>
            <w:vAlign w:val="bottom"/>
          </w:tcPr>
          <w:p w:rsidR="00274A64" w:rsidRPr="00407F16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33,8</w:t>
            </w:r>
          </w:p>
        </w:tc>
        <w:tc>
          <w:tcPr>
            <w:tcW w:w="788" w:type="dxa"/>
            <w:vAlign w:val="bottom"/>
          </w:tcPr>
          <w:p w:rsidR="00274A64" w:rsidRPr="002B5312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37,2</w:t>
            </w:r>
          </w:p>
        </w:tc>
        <w:tc>
          <w:tcPr>
            <w:tcW w:w="883" w:type="dxa"/>
          </w:tcPr>
          <w:p w:rsidR="00274A64" w:rsidRPr="002B5312" w:rsidRDefault="00274A64" w:rsidP="00274A64">
            <w:pPr>
              <w:pStyle w:val="Bezrazmaka"/>
              <w:jc w:val="right"/>
            </w:pPr>
            <w:r w:rsidRPr="009D03D0">
              <w:rPr>
                <w:rFonts w:ascii="Tahoma" w:hAnsi="Tahoma" w:cs="Tahoma"/>
              </w:rPr>
              <w:t>34,4</w:t>
            </w:r>
          </w:p>
        </w:tc>
        <w:tc>
          <w:tcPr>
            <w:tcW w:w="883" w:type="dxa"/>
            <w:vMerge/>
            <w:vAlign w:val="center"/>
          </w:tcPr>
          <w:p w:rsidR="00274A64" w:rsidRPr="0004543D" w:rsidRDefault="00274A64" w:rsidP="00274A64">
            <w:pPr>
              <w:pStyle w:val="Bezrazmaka"/>
              <w:jc w:val="right"/>
            </w:pPr>
          </w:p>
        </w:tc>
      </w:tr>
      <w:tr w:rsidR="00274A64" w:rsidRPr="00A4714D" w:rsidTr="00AA7A62">
        <w:trPr>
          <w:jc w:val="center"/>
        </w:trPr>
        <w:tc>
          <w:tcPr>
            <w:tcW w:w="2241" w:type="dxa"/>
          </w:tcPr>
          <w:p w:rsidR="00274A64" w:rsidRDefault="00274A64" w:rsidP="00274A64">
            <w:pPr>
              <w:pStyle w:val="Bezrazmaka"/>
              <w:jc w:val="center"/>
            </w:pPr>
            <w:r>
              <w:t>višegodišnji prosek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43,0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45,0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44,0</w:t>
            </w:r>
          </w:p>
        </w:tc>
        <w:tc>
          <w:tcPr>
            <w:tcW w:w="789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33,0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35,0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36,0</w:t>
            </w:r>
          </w:p>
        </w:tc>
        <w:tc>
          <w:tcPr>
            <w:tcW w:w="789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44,0</w:t>
            </w:r>
          </w:p>
        </w:tc>
        <w:tc>
          <w:tcPr>
            <w:tcW w:w="788" w:type="dxa"/>
            <w:vAlign w:val="bottom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61,0</w:t>
            </w:r>
          </w:p>
        </w:tc>
        <w:tc>
          <w:tcPr>
            <w:tcW w:w="883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77,0</w:t>
            </w:r>
          </w:p>
        </w:tc>
        <w:tc>
          <w:tcPr>
            <w:tcW w:w="883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418,0</w:t>
            </w:r>
          </w:p>
        </w:tc>
      </w:tr>
      <w:tr w:rsidR="00274A64" w:rsidRPr="00A4714D" w:rsidTr="00AA7A62">
        <w:trPr>
          <w:jc w:val="center"/>
        </w:trPr>
        <w:tc>
          <w:tcPr>
            <w:tcW w:w="2241" w:type="dxa"/>
          </w:tcPr>
          <w:p w:rsidR="00274A64" w:rsidRDefault="00274A64" w:rsidP="00274A64">
            <w:pPr>
              <w:pStyle w:val="Bezrazmaka"/>
              <w:jc w:val="center"/>
            </w:pPr>
            <w:r>
              <w:t>Δ od višegodišnjeg proseka</w:t>
            </w:r>
          </w:p>
        </w:tc>
        <w:tc>
          <w:tcPr>
            <w:tcW w:w="788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11,2</w:t>
            </w:r>
          </w:p>
        </w:tc>
        <w:tc>
          <w:tcPr>
            <w:tcW w:w="788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6,6</w:t>
            </w:r>
          </w:p>
        </w:tc>
        <w:tc>
          <w:tcPr>
            <w:tcW w:w="788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9,4</w:t>
            </w:r>
          </w:p>
        </w:tc>
        <w:tc>
          <w:tcPr>
            <w:tcW w:w="789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-29,8</w:t>
            </w:r>
          </w:p>
        </w:tc>
        <w:tc>
          <w:tcPr>
            <w:tcW w:w="788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-13,8</w:t>
            </w:r>
          </w:p>
        </w:tc>
        <w:tc>
          <w:tcPr>
            <w:tcW w:w="788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-31,0</w:t>
            </w:r>
          </w:p>
        </w:tc>
        <w:tc>
          <w:tcPr>
            <w:tcW w:w="789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-10,2</w:t>
            </w:r>
          </w:p>
        </w:tc>
        <w:tc>
          <w:tcPr>
            <w:tcW w:w="788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  <w:color w:val="000000"/>
              </w:rPr>
            </w:pPr>
            <w:r w:rsidRPr="009D03D0">
              <w:rPr>
                <w:rFonts w:ascii="Tahoma" w:hAnsi="Tahoma" w:cs="Tahoma"/>
                <w:color w:val="000000"/>
              </w:rPr>
              <w:t>-23,8</w:t>
            </w:r>
          </w:p>
        </w:tc>
        <w:tc>
          <w:tcPr>
            <w:tcW w:w="883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-42,6</w:t>
            </w:r>
          </w:p>
        </w:tc>
        <w:tc>
          <w:tcPr>
            <w:tcW w:w="883" w:type="dxa"/>
            <w:vAlign w:val="center"/>
          </w:tcPr>
          <w:p w:rsidR="00274A64" w:rsidRPr="009D03D0" w:rsidRDefault="00274A64" w:rsidP="00274A64">
            <w:pPr>
              <w:pStyle w:val="Bezrazmaka"/>
              <w:jc w:val="right"/>
              <w:rPr>
                <w:rFonts w:ascii="Tahoma" w:hAnsi="Tahoma" w:cs="Tahoma"/>
              </w:rPr>
            </w:pPr>
            <w:r w:rsidRPr="009D03D0">
              <w:rPr>
                <w:rFonts w:ascii="Tahoma" w:hAnsi="Tahoma" w:cs="Tahoma"/>
              </w:rPr>
              <w:t>-124,0</w:t>
            </w:r>
          </w:p>
        </w:tc>
      </w:tr>
    </w:tbl>
    <w:p w:rsidR="00735107" w:rsidRDefault="00735107" w:rsidP="004B4B76">
      <w:pPr>
        <w:pStyle w:val="Bezrazmaka"/>
        <w:ind w:firstLine="708"/>
        <w:jc w:val="both"/>
        <w:rPr>
          <w:rFonts w:ascii="Tahoma" w:hAnsi="Tahoma" w:cs="Tahoma"/>
        </w:rPr>
      </w:pPr>
    </w:p>
    <w:p w:rsidR="00735107" w:rsidRDefault="00274A64" w:rsidP="004B4B76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Iz tabele se vidi da je u vegetaciji strnina palo 124 litara kiše manje od višegodišnjeg proseka što je i uslovilo prosečne prinose pšenice i ječma od 5 t/ha. Sušno leto se nastavilo, tako da te tokom jula palo oko 10 litara kiše a u avgustu oko 40 litara, što je 50% padavina od višegodišnjeg proseka. Ovakva situacija onemugućila je ili u značajnoj meri uticala na kvalitet obrade zemljišta posle žetve i onemogućila mineralizaciju žetvenih ostataka. Padavine u avgustu i početkom septembra uslovile su da je jedan deo površina za setvu uljane repice obrađen gruberima, </w:t>
      </w:r>
      <w:r w:rsidR="00C7622C">
        <w:rPr>
          <w:rFonts w:ascii="Tahoma" w:hAnsi="Tahoma" w:cs="Tahoma"/>
        </w:rPr>
        <w:t>a na većem delu površina je osnovna obrada obavljena oranjem.</w:t>
      </w:r>
      <w:r>
        <w:rPr>
          <w:rFonts w:ascii="Tahoma" w:hAnsi="Tahoma" w:cs="Tahoma"/>
        </w:rPr>
        <w:t xml:space="preserve"> U septembru je palo oko 75-80 litara padavina, i kiša je padala gotovo svakodnevno. Ovakvo vreme</w:t>
      </w:r>
      <w:r w:rsidR="00C7622C">
        <w:rPr>
          <w:rFonts w:ascii="Tahoma" w:hAnsi="Tahoma" w:cs="Tahoma"/>
        </w:rPr>
        <w:t xml:space="preserve"> usporilo je ubiranje suncokreta i kukuruza, ali je povoljna prokvašenost oraničnog sloja  i odsustvo velike količine žetvenih ostataka omogućila</w:t>
      </w:r>
      <w:r>
        <w:rPr>
          <w:rFonts w:ascii="Tahoma" w:hAnsi="Tahoma" w:cs="Tahoma"/>
        </w:rPr>
        <w:t xml:space="preserve"> da se osnovna obrada za setvu</w:t>
      </w:r>
      <w:r w:rsidR="00C7622C">
        <w:rPr>
          <w:rFonts w:ascii="Tahoma" w:hAnsi="Tahoma" w:cs="Tahoma"/>
        </w:rPr>
        <w:t xml:space="preserve"> ozimih strnina redukovano, tanjiranjem i gruberovanjem.</w:t>
      </w:r>
    </w:p>
    <w:p w:rsidR="00C7622C" w:rsidRDefault="00C7622C" w:rsidP="004B4B76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Pojedini proizvođači započeli su setvu ječma već od 22. </w:t>
      </w:r>
      <w:r w:rsidR="00FA6C0B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eptembra uprkos apelima stručne javnosti da se ne žuri sa setvom. Sa prvim danima oktobra intenzivirala se setva ječma i pšenice i odvijala se sukcesivno sa ubiranjem kukuruza. Usevi posejani do polovine oktobra nicali su za 7 dana, a usevi sejani oko 20. Oktobra, ponikli su u roku od 10 dana. Najveći deo površina zasejan je do 27. Oktobra, ali je zabeleženo da je </w:t>
      </w:r>
      <w:r w:rsidR="00FA6C0B">
        <w:rPr>
          <w:rFonts w:ascii="Tahoma" w:hAnsi="Tahoma" w:cs="Tahoma"/>
        </w:rPr>
        <w:t>nekoliko desetina ha pšenice zasejano sredinom novembra nakon ubiranja šećerne repe. Toplo vreme u novembru, decembru i prvoj polovini januara uslovilo je bujan razvoj uljane repice i rano posejanih useva pšenice i ječma. Trenutno najbolje izgledaju ječmovi i pšenice posejane u drugoj dekadi oktobra. Ovakvi usevi su dobro razvijeni i sa malo simptoma bolesti. Usevi sejani u prvoj dekadi oktobra su dosta bujni i u slučaju vlažnijeg proleća verovatno će trebati primeniti regulatore rasta. Čak i pšenice sejane polovinom novembra pokazuju začetak trećeg lista. Zbog slabijeg razvoja korenovog sistema kod ovih useva preporučljiva je prihrana i u tri navrata, kao i folijarna prihrana.</w:t>
      </w:r>
      <w:r w:rsidR="006E2204">
        <w:rPr>
          <w:rFonts w:ascii="Tahoma" w:hAnsi="Tahoma" w:cs="Tahoma"/>
        </w:rPr>
        <w:t xml:space="preserve"> Ozima pšenica zasejana je na oko 26.500 ha, ozimi ječam na 5.500-6000 ha, a uljana repica na oko 6000 ha, odnosno zasejano je preko 50% oraničnih površina u jesenjoj setvi.</w:t>
      </w:r>
    </w:p>
    <w:p w:rsidR="00274A64" w:rsidRDefault="00274A64" w:rsidP="004B4B76">
      <w:pPr>
        <w:pStyle w:val="Bezrazmaka"/>
        <w:ind w:firstLine="708"/>
        <w:jc w:val="both"/>
        <w:rPr>
          <w:rFonts w:ascii="Tahoma" w:hAnsi="Tahoma" w:cs="Tahoma"/>
        </w:rPr>
      </w:pPr>
    </w:p>
    <w:p w:rsidR="005C07D6" w:rsidRDefault="005C07D6" w:rsidP="00FA6C0B">
      <w:pPr>
        <w:pStyle w:val="Bezrazmaka"/>
        <w:jc w:val="both"/>
        <w:rPr>
          <w:rFonts w:ascii="Tahoma" w:hAnsi="Tahoma" w:cs="Tahoma"/>
        </w:rPr>
      </w:pPr>
    </w:p>
    <w:p w:rsidR="006E2204" w:rsidRPr="004B4B76" w:rsidRDefault="006E2204" w:rsidP="00FA6C0B">
      <w:pPr>
        <w:pStyle w:val="Bezrazmaka"/>
        <w:jc w:val="both"/>
        <w:rPr>
          <w:rFonts w:ascii="Tahoma" w:hAnsi="Tahoma" w:cs="Tahoma"/>
        </w:rPr>
      </w:pPr>
    </w:p>
    <w:p w:rsidR="00AB75CA" w:rsidRDefault="00AB75CA" w:rsidP="00AB75CA">
      <w:pPr>
        <w:pStyle w:val="Pasussalistom"/>
        <w:numPr>
          <w:ilvl w:val="0"/>
          <w:numId w:val="5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Rezultati </w:t>
      </w:r>
      <w:r w:rsidRPr="00575145">
        <w:rPr>
          <w:rFonts w:ascii="Tahoma" w:hAnsi="Tahoma" w:cs="Tahoma"/>
          <w:b/>
          <w:bCs/>
        </w:rPr>
        <w:t xml:space="preserve">N-min analize i stanje nitratnog azota </w:t>
      </w:r>
      <w:r>
        <w:rPr>
          <w:rFonts w:ascii="Tahoma" w:hAnsi="Tahoma" w:cs="Tahoma"/>
          <w:b/>
          <w:bCs/>
        </w:rPr>
        <w:t>u zemljištu</w:t>
      </w:r>
    </w:p>
    <w:p w:rsidR="001C661E" w:rsidRDefault="005012D0" w:rsidP="00B967F7">
      <w:pPr>
        <w:pStyle w:val="Bezrazmaka"/>
        <w:ind w:firstLine="360"/>
        <w:jc w:val="both"/>
        <w:rPr>
          <w:rFonts w:ascii="Tahoma" w:hAnsi="Tahoma" w:cs="Tahoma"/>
        </w:rPr>
      </w:pPr>
      <w:r w:rsidRPr="00B967F7">
        <w:rPr>
          <w:rFonts w:ascii="Tahoma" w:hAnsi="Tahoma" w:cs="Tahoma"/>
        </w:rPr>
        <w:t>PSSS Subotica je u januaru počela ispitivanje sadržaja nitratnog azota u zemljištu radi utvrđivanja potrebnih količina azota za prihranu.</w:t>
      </w:r>
      <w:r w:rsidR="001C661E">
        <w:rPr>
          <w:rFonts w:ascii="Tahoma" w:hAnsi="Tahoma" w:cs="Tahoma"/>
        </w:rPr>
        <w:t xml:space="preserve"> U periodu od 8. januara do 10. februara ispitano je 276 uzoraka sa 3395 ha zasejanih pšenicom, 76 uzoraka sa 648 ha zasejanih ječmom i 162</w:t>
      </w:r>
      <w:r w:rsidR="00E12500" w:rsidRPr="00B967F7">
        <w:rPr>
          <w:rFonts w:ascii="Tahoma" w:hAnsi="Tahoma" w:cs="Tahoma"/>
        </w:rPr>
        <w:t xml:space="preserve"> uz</w:t>
      </w:r>
      <w:r w:rsidR="001C661E">
        <w:rPr>
          <w:rFonts w:ascii="Tahoma" w:hAnsi="Tahoma" w:cs="Tahoma"/>
        </w:rPr>
        <w:t>orka sa 1665</w:t>
      </w:r>
      <w:r w:rsidR="00E12500" w:rsidRPr="00B967F7">
        <w:rPr>
          <w:rFonts w:ascii="Tahoma" w:hAnsi="Tahoma" w:cs="Tahoma"/>
        </w:rPr>
        <w:t xml:space="preserve"> ha zasejanih uljanom repicom. </w:t>
      </w:r>
    </w:p>
    <w:p w:rsidR="001C661E" w:rsidRDefault="001C661E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1C661E" w:rsidRPr="001C661E" w:rsidRDefault="001C661E" w:rsidP="001C661E">
      <w:pPr>
        <w:pStyle w:val="Pasussalistom"/>
        <w:numPr>
          <w:ilvl w:val="1"/>
          <w:numId w:val="5"/>
        </w:numPr>
        <w:rPr>
          <w:rFonts w:ascii="Tahoma" w:hAnsi="Tahoma" w:cs="Tahoma"/>
          <w:b/>
          <w:bCs/>
        </w:rPr>
      </w:pPr>
      <w:r w:rsidRPr="002C2263">
        <w:rPr>
          <w:rFonts w:ascii="Tahoma" w:hAnsi="Tahoma" w:cs="Tahoma"/>
          <w:b/>
          <w:bCs/>
        </w:rPr>
        <w:t>Ozima pšenica</w:t>
      </w:r>
    </w:p>
    <w:p w:rsidR="00A773E2" w:rsidRDefault="001C661E" w:rsidP="00A773E2">
      <w:pPr>
        <w:pStyle w:val="Bezrazmaka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grafikonu 1 prikazano je koliko je aktivne materije po ha upotrebljeno za osnovno đubrenje pšenice</w:t>
      </w:r>
      <w:r w:rsidR="00A773E2">
        <w:rPr>
          <w:rFonts w:ascii="Tahoma" w:hAnsi="Tahoma" w:cs="Tahoma"/>
        </w:rPr>
        <w:t xml:space="preserve"> </w:t>
      </w:r>
      <w:r w:rsidR="00A773E2">
        <w:rPr>
          <w:rFonts w:ascii="Tahoma" w:hAnsi="Tahoma" w:cs="Tahoma"/>
        </w:rPr>
        <w:t>u periodu od 2021.-2023. godine.</w:t>
      </w:r>
    </w:p>
    <w:p w:rsidR="00A773E2" w:rsidRPr="00B967F7" w:rsidRDefault="00A773E2" w:rsidP="00A773E2">
      <w:pPr>
        <w:pStyle w:val="Bezrazmaka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Grafikon 1.</w:t>
      </w:r>
    </w:p>
    <w:p w:rsidR="001C661E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  <w:r>
        <w:rPr>
          <w:noProof/>
          <w:lang w:val="en-US"/>
        </w:rPr>
        <w:drawing>
          <wp:anchor distT="0" distB="0" distL="114300" distR="114300" simplePos="0" relativeHeight="251666944" behindDoc="0" locked="0" layoutInCell="1" allowOverlap="1" wp14:anchorId="58AAE203" wp14:editId="2EAD6056">
            <wp:simplePos x="0" y="0"/>
            <wp:positionH relativeFrom="column">
              <wp:posOffset>1400175</wp:posOffset>
            </wp:positionH>
            <wp:positionV relativeFrom="paragraph">
              <wp:posOffset>115570</wp:posOffset>
            </wp:positionV>
            <wp:extent cx="3924300" cy="2228850"/>
            <wp:effectExtent l="0" t="0" r="0" b="0"/>
            <wp:wrapNone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1C661E" w:rsidRDefault="001C661E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1C661E" w:rsidRDefault="001C661E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A773E2" w:rsidRDefault="00A773E2" w:rsidP="00A773E2">
      <w:pPr>
        <w:pStyle w:val="Bezrazmaka"/>
        <w:jc w:val="both"/>
        <w:rPr>
          <w:rFonts w:ascii="Tahoma" w:hAnsi="Tahoma" w:cs="Tahoma"/>
        </w:rPr>
      </w:pPr>
    </w:p>
    <w:p w:rsidR="00A773E2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</w:p>
    <w:p w:rsidR="001C661E" w:rsidRDefault="00A773E2" w:rsidP="00A773E2">
      <w:pPr>
        <w:pStyle w:val="Bezrazmaka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 prikazanih podataka se vidi da se smanjuje količina upotrebljenih đubriva za osnovno đubrenje, a osnovni razlog je visoka cena mineralnih đubriva. S obzirom da je prošle godine zbog suše i niskih prinosa jarih kultura značajno smanjeno iznošenje hraniva, može se pretpostaviti da ukoliko je upotrebljeno optimalno đubrenje za kukuruz i suncokret, pšenica bi trebala imati dovoljno hraniva za ostvarenje visokih prinosa. Na parcelama gde je predusev uljana repica, bilo je značajnije iznošenje hraniva zbog prosečno dobrih prinosa, i na slabije plodnim parcelama, sadržaj fosfora bi mogao limitirati prinose.</w:t>
      </w:r>
    </w:p>
    <w:p w:rsidR="00B967F7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grafikonu 2</w:t>
      </w:r>
      <w:r w:rsidR="001C661E">
        <w:rPr>
          <w:rFonts w:ascii="Tahoma" w:hAnsi="Tahoma" w:cs="Tahoma"/>
        </w:rPr>
        <w:t>. prikazan je prosečni sadržaj nitratnog azota na parcelama zasejanim pšenicom u periodu od 2021.-2023. godine</w:t>
      </w:r>
      <w:r w:rsidR="00B967F7">
        <w:rPr>
          <w:rFonts w:ascii="Tahoma" w:hAnsi="Tahoma" w:cs="Tahoma"/>
        </w:rPr>
        <w:t>.</w:t>
      </w:r>
    </w:p>
    <w:p w:rsidR="00B967F7" w:rsidRPr="00B967F7" w:rsidRDefault="00A773E2" w:rsidP="00B967F7">
      <w:pPr>
        <w:pStyle w:val="Bezrazmaka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Grafikon 2</w:t>
      </w:r>
      <w:r w:rsidR="00B967F7">
        <w:rPr>
          <w:rFonts w:ascii="Tahoma" w:hAnsi="Tahoma" w:cs="Tahoma"/>
        </w:rPr>
        <w:t>.</w:t>
      </w:r>
    </w:p>
    <w:p w:rsidR="00E12500" w:rsidRPr="00B967F7" w:rsidRDefault="001C661E" w:rsidP="00B967F7">
      <w:pPr>
        <w:jc w:val="both"/>
        <w:rPr>
          <w:rFonts w:ascii="Tahoma" w:hAnsi="Tahoma" w:cs="Tahoma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0" locked="0" layoutInCell="1" allowOverlap="1" wp14:anchorId="2AE02871" wp14:editId="747C4ABE">
            <wp:simplePos x="0" y="0"/>
            <wp:positionH relativeFrom="column">
              <wp:posOffset>1400175</wp:posOffset>
            </wp:positionH>
            <wp:positionV relativeFrom="paragraph">
              <wp:posOffset>145415</wp:posOffset>
            </wp:positionV>
            <wp:extent cx="4191000" cy="2438400"/>
            <wp:effectExtent l="0" t="0" r="0" b="0"/>
            <wp:wrapNone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00" w:rsidRDefault="00E12500" w:rsidP="00AB75CA">
      <w:pPr>
        <w:jc w:val="both"/>
        <w:rPr>
          <w:rFonts w:ascii="Tahoma" w:hAnsi="Tahoma" w:cs="Tahoma"/>
        </w:rPr>
      </w:pPr>
    </w:p>
    <w:p w:rsidR="00E12500" w:rsidRDefault="00E12500" w:rsidP="00AB75CA">
      <w:pPr>
        <w:jc w:val="both"/>
        <w:rPr>
          <w:rFonts w:ascii="Tahoma" w:hAnsi="Tahoma" w:cs="Tahoma"/>
        </w:rPr>
      </w:pPr>
    </w:p>
    <w:p w:rsidR="00E12500" w:rsidRPr="00AB75CA" w:rsidRDefault="00E12500" w:rsidP="00AB75CA">
      <w:pPr>
        <w:jc w:val="both"/>
        <w:rPr>
          <w:rFonts w:ascii="Tahoma" w:hAnsi="Tahoma" w:cs="Tahoma"/>
        </w:rPr>
      </w:pPr>
    </w:p>
    <w:p w:rsidR="00B24528" w:rsidRDefault="00B24528" w:rsidP="00AB75CA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:rsidR="00875ECF" w:rsidRDefault="00875ECF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B967F7" w:rsidRDefault="00B967F7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B967F7" w:rsidRDefault="00B967F7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8F35E7" w:rsidRPr="001C661E" w:rsidRDefault="001C661E" w:rsidP="001C661E">
      <w:pPr>
        <w:pStyle w:val="Bezrazmaka"/>
        <w:rPr>
          <w:rFonts w:ascii="Tahoma" w:hAnsi="Tahoma" w:cs="Tahoma"/>
        </w:rPr>
      </w:pPr>
      <w:r>
        <w:lastRenderedPageBreak/>
        <w:tab/>
      </w:r>
      <w:r w:rsidRPr="001C661E">
        <w:rPr>
          <w:rFonts w:ascii="Tahoma" w:hAnsi="Tahoma" w:cs="Tahoma"/>
        </w:rPr>
        <w:t xml:space="preserve">Sa grafikona se može uočiti da </w:t>
      </w:r>
      <w:r>
        <w:rPr>
          <w:rFonts w:ascii="Tahoma" w:hAnsi="Tahoma" w:cs="Tahoma"/>
        </w:rPr>
        <w:t>je u odnosu na prethodne dve godine sadržaj azota u nitratnom obliku niži za oko 54 kg/ha</w:t>
      </w:r>
      <w:r w:rsidR="00A773E2">
        <w:rPr>
          <w:rFonts w:ascii="Tahoma" w:hAnsi="Tahoma" w:cs="Tahoma"/>
        </w:rPr>
        <w:t>. Razlog za to je odsustvo mineralizacije i smanjena upotreba azotnih đubriva pod osnovnu obradu.</w:t>
      </w:r>
    </w:p>
    <w:p w:rsidR="00A773E2" w:rsidRDefault="00E51980" w:rsidP="00A773E2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grafikonu 3. prikazana je struktura preduseva ozimoj pšenici.</w:t>
      </w:r>
      <w:r w:rsidR="00220BA7">
        <w:rPr>
          <w:rFonts w:ascii="Tahoma" w:hAnsi="Tahoma" w:cs="Tahoma"/>
        </w:rPr>
        <w:t xml:space="preserve"> </w:t>
      </w: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Grafikon 3.</w:t>
      </w:r>
    </w:p>
    <w:p w:rsidR="00E51980" w:rsidRDefault="00E51980" w:rsidP="00220BA7">
      <w:pPr>
        <w:pStyle w:val="Bezrazmaka"/>
        <w:ind w:firstLine="708"/>
        <w:jc w:val="both"/>
        <w:rPr>
          <w:noProof/>
          <w:lang w:val="en-US"/>
        </w:rPr>
      </w:pPr>
    </w:p>
    <w:p w:rsidR="0092447D" w:rsidRDefault="0092447D" w:rsidP="00220BA7">
      <w:pPr>
        <w:pStyle w:val="Bezrazmaka"/>
        <w:ind w:firstLine="708"/>
        <w:jc w:val="both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6ABDDCC6" wp14:editId="10CB7EA9">
            <wp:simplePos x="0" y="0"/>
            <wp:positionH relativeFrom="column">
              <wp:posOffset>1400175</wp:posOffset>
            </wp:positionH>
            <wp:positionV relativeFrom="paragraph">
              <wp:posOffset>62865</wp:posOffset>
            </wp:positionV>
            <wp:extent cx="4171950" cy="2476500"/>
            <wp:effectExtent l="0" t="0" r="0" b="0"/>
            <wp:wrapNone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47D" w:rsidRDefault="0092447D" w:rsidP="00220BA7">
      <w:pPr>
        <w:pStyle w:val="Bezrazmaka"/>
        <w:ind w:firstLine="708"/>
        <w:jc w:val="both"/>
        <w:rPr>
          <w:noProof/>
          <w:lang w:val="en-US"/>
        </w:rPr>
      </w:pPr>
    </w:p>
    <w:p w:rsidR="0092447D" w:rsidRDefault="0092447D" w:rsidP="00220BA7">
      <w:pPr>
        <w:pStyle w:val="Bezrazmaka"/>
        <w:ind w:firstLine="708"/>
        <w:jc w:val="both"/>
        <w:rPr>
          <w:noProof/>
          <w:lang w:val="en-US"/>
        </w:rPr>
      </w:pPr>
    </w:p>
    <w:p w:rsidR="0092447D" w:rsidRDefault="0092447D" w:rsidP="00220BA7">
      <w:pPr>
        <w:pStyle w:val="Bezrazmaka"/>
        <w:ind w:firstLine="708"/>
        <w:jc w:val="both"/>
        <w:rPr>
          <w:noProof/>
          <w:lang w:val="en-US"/>
        </w:rPr>
      </w:pPr>
    </w:p>
    <w:p w:rsidR="0092447D" w:rsidRDefault="0092447D" w:rsidP="00220BA7">
      <w:pPr>
        <w:pStyle w:val="Bezrazmaka"/>
        <w:ind w:firstLine="708"/>
        <w:jc w:val="both"/>
        <w:rPr>
          <w:noProof/>
          <w:lang w:val="en-US"/>
        </w:rPr>
      </w:pPr>
    </w:p>
    <w:p w:rsidR="0092447D" w:rsidRDefault="0092447D" w:rsidP="00220BA7">
      <w:pPr>
        <w:pStyle w:val="Bezrazmaka"/>
        <w:ind w:firstLine="708"/>
        <w:jc w:val="both"/>
        <w:rPr>
          <w:noProof/>
          <w:lang w:val="en-US"/>
        </w:rPr>
      </w:pPr>
    </w:p>
    <w:p w:rsidR="0092447D" w:rsidRDefault="0092447D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92447D">
      <w:pPr>
        <w:pStyle w:val="Bezrazmaka"/>
        <w:jc w:val="both"/>
        <w:rPr>
          <w:rFonts w:ascii="Tahoma" w:hAnsi="Tahoma" w:cs="Tahoma"/>
        </w:rPr>
      </w:pPr>
    </w:p>
    <w:p w:rsidR="00E51980" w:rsidRDefault="00E51980" w:rsidP="00267997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Iz prikazanih podataka može se videti da je kukuruz </w:t>
      </w:r>
      <w:r w:rsidR="0092447D">
        <w:rPr>
          <w:rFonts w:ascii="Tahoma" w:hAnsi="Tahoma" w:cs="Tahoma"/>
        </w:rPr>
        <w:t xml:space="preserve">sa 48% površina </w:t>
      </w:r>
      <w:r>
        <w:rPr>
          <w:rFonts w:ascii="Tahoma" w:hAnsi="Tahoma" w:cs="Tahoma"/>
        </w:rPr>
        <w:t>dom</w:t>
      </w:r>
      <w:r w:rsidR="0092447D">
        <w:rPr>
          <w:rFonts w:ascii="Tahoma" w:hAnsi="Tahoma" w:cs="Tahoma"/>
        </w:rPr>
        <w:t>inantan predusev ozimoj pšenici, a zatim slede uljana repica i suncokret sa podjednakim učešćem od po 22%. Monokultura je zastupljena na 6% površina, a šećerna repa i legiminoze čine oko 2% preduseva.</w:t>
      </w:r>
      <w:r>
        <w:rPr>
          <w:rFonts w:ascii="Tahoma" w:hAnsi="Tahoma" w:cs="Tahoma"/>
        </w:rPr>
        <w:t xml:space="preserve"> </w:t>
      </w:r>
    </w:p>
    <w:p w:rsidR="00E51980" w:rsidRDefault="00267997" w:rsidP="00220BA7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grafikonu 4. prikazan je sadržaj čistog azota</w:t>
      </w:r>
      <w:r w:rsidR="0092447D">
        <w:rPr>
          <w:rFonts w:ascii="Tahoma" w:hAnsi="Tahoma" w:cs="Tahoma"/>
        </w:rPr>
        <w:t xml:space="preserve"> u kg/ha u nitratnom obliku</w:t>
      </w:r>
      <w:r>
        <w:rPr>
          <w:rFonts w:ascii="Tahoma" w:hAnsi="Tahoma" w:cs="Tahoma"/>
        </w:rPr>
        <w:t xml:space="preserve"> po slojevima zemljišta</w:t>
      </w:r>
      <w:r w:rsidR="00211F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na parcelama zasejanim pšenicom </w:t>
      </w:r>
      <w:r w:rsidR="0092447D">
        <w:rPr>
          <w:rFonts w:ascii="Tahoma" w:hAnsi="Tahoma" w:cs="Tahoma"/>
        </w:rPr>
        <w:t>gde je predusev kukuruz, kao i potrebne količine azota</w:t>
      </w:r>
      <w:r w:rsidR="00211F4B">
        <w:rPr>
          <w:rFonts w:ascii="Tahoma" w:hAnsi="Tahoma" w:cs="Tahoma"/>
        </w:rPr>
        <w:t xml:space="preserve"> u kg/</w:t>
      </w:r>
      <w:r w:rsidR="0092447D">
        <w:rPr>
          <w:rFonts w:ascii="Tahoma" w:hAnsi="Tahoma" w:cs="Tahoma"/>
        </w:rPr>
        <w:t>ha za prihranu</w:t>
      </w:r>
      <w:r>
        <w:rPr>
          <w:rFonts w:ascii="Tahoma" w:hAnsi="Tahoma" w:cs="Tahoma"/>
        </w:rPr>
        <w:t xml:space="preserve"> </w:t>
      </w:r>
    </w:p>
    <w:p w:rsidR="004440F0" w:rsidRDefault="004440F0" w:rsidP="00220BA7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Grafikon 4.</w:t>
      </w:r>
    </w:p>
    <w:p w:rsidR="00E51980" w:rsidRDefault="00211F4B" w:rsidP="00220BA7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63E88304" wp14:editId="69F7171A">
            <wp:simplePos x="0" y="0"/>
            <wp:positionH relativeFrom="column">
              <wp:posOffset>980440</wp:posOffset>
            </wp:positionH>
            <wp:positionV relativeFrom="paragraph">
              <wp:posOffset>95250</wp:posOffset>
            </wp:positionV>
            <wp:extent cx="4829175" cy="29025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90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E51980" w:rsidRPr="008F35E7" w:rsidRDefault="00E51980" w:rsidP="00220BA7">
      <w:pPr>
        <w:pStyle w:val="Bezrazmaka"/>
        <w:ind w:firstLine="708"/>
        <w:jc w:val="both"/>
        <w:rPr>
          <w:rFonts w:ascii="Tahoma" w:hAnsi="Tahoma" w:cs="Tahoma"/>
        </w:rPr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211F4B" w:rsidRDefault="00211F4B" w:rsidP="00BE2FF1">
      <w:pPr>
        <w:pStyle w:val="Bezrazmaka"/>
        <w:ind w:firstLine="708"/>
        <w:jc w:val="both"/>
        <w:rPr>
          <w:rFonts w:ascii="Tahoma" w:hAnsi="Tahoma" w:cs="Tahoma"/>
        </w:rPr>
      </w:pPr>
    </w:p>
    <w:p w:rsidR="00211F4B" w:rsidRDefault="00211F4B" w:rsidP="00BE2FF1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parcelama gde je predusev kukuruz potrebno je za prihranu upotrebiti od 0-109 kg čistog azota po ha, a prosečno oko</w:t>
      </w:r>
      <w:r w:rsidR="006E2204">
        <w:rPr>
          <w:rFonts w:ascii="Tahoma" w:hAnsi="Tahoma" w:cs="Tahoma"/>
        </w:rPr>
        <w:t xml:space="preserve"> 61 kg. Prošle godine trebalo je upotrebiti prosečno 42 kg N/ha.</w:t>
      </w:r>
    </w:p>
    <w:p w:rsidR="00211F4B" w:rsidRDefault="00211F4B" w:rsidP="00BE2FF1">
      <w:pPr>
        <w:pStyle w:val="Bezrazmaka"/>
        <w:ind w:firstLine="708"/>
        <w:jc w:val="both"/>
        <w:rPr>
          <w:rFonts w:ascii="Tahoma" w:hAnsi="Tahoma" w:cs="Tahoma"/>
        </w:rPr>
      </w:pPr>
    </w:p>
    <w:p w:rsidR="00211F4B" w:rsidRDefault="00211F4B" w:rsidP="00BE2FF1">
      <w:pPr>
        <w:pStyle w:val="Bezrazmaka"/>
        <w:ind w:firstLine="708"/>
        <w:jc w:val="both"/>
        <w:rPr>
          <w:rFonts w:ascii="Tahoma" w:hAnsi="Tahoma" w:cs="Tahoma"/>
        </w:rPr>
      </w:pPr>
    </w:p>
    <w:p w:rsidR="00211F4B" w:rsidRDefault="00211F4B" w:rsidP="00BE2FF1">
      <w:pPr>
        <w:pStyle w:val="Bezrazmaka"/>
        <w:ind w:firstLine="708"/>
        <w:jc w:val="both"/>
        <w:rPr>
          <w:rFonts w:ascii="Tahoma" w:hAnsi="Tahoma" w:cs="Tahoma"/>
        </w:rPr>
      </w:pPr>
    </w:p>
    <w:p w:rsidR="00BE2FF1" w:rsidRDefault="00BE2FF1" w:rsidP="00BE2FF1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Na grafikonu 5. </w:t>
      </w:r>
      <w:r w:rsidR="00211F4B">
        <w:rPr>
          <w:rFonts w:ascii="Tahoma" w:hAnsi="Tahoma" w:cs="Tahoma"/>
        </w:rPr>
        <w:t xml:space="preserve">prikazan je sadržaj čistog azota u kg/ha u nitratnom obliku po slojevima zemljišta, na parcelama zasejanim pšenicom </w:t>
      </w:r>
      <w:r w:rsidR="00211F4B">
        <w:rPr>
          <w:rFonts w:ascii="Tahoma" w:hAnsi="Tahoma" w:cs="Tahoma"/>
        </w:rPr>
        <w:t>gde je predusev suncokret</w:t>
      </w:r>
      <w:r w:rsidR="00211F4B">
        <w:rPr>
          <w:rFonts w:ascii="Tahoma" w:hAnsi="Tahoma" w:cs="Tahoma"/>
        </w:rPr>
        <w:t xml:space="preserve">, kao i potrebne količine azota u kg/ha za prihranu </w:t>
      </w:r>
      <w:r>
        <w:rPr>
          <w:rFonts w:ascii="Tahoma" w:hAnsi="Tahoma" w:cs="Tahoma"/>
        </w:rPr>
        <w:t>Grafikon 5.</w:t>
      </w:r>
    </w:p>
    <w:p w:rsidR="00BE2FF1" w:rsidRPr="004440F0" w:rsidRDefault="00BE2FF1" w:rsidP="008F35E7">
      <w:pPr>
        <w:pStyle w:val="Bezrazmaka"/>
        <w:jc w:val="both"/>
        <w:rPr>
          <w:rFonts w:ascii="Tahoma" w:hAnsi="Tahoma" w:cs="Tahoma"/>
        </w:rPr>
      </w:pPr>
    </w:p>
    <w:p w:rsidR="008F35E7" w:rsidRDefault="00211F4B" w:rsidP="008F35E7">
      <w:pPr>
        <w:pStyle w:val="Bezrazmaka"/>
        <w:jc w:val="both"/>
      </w:pPr>
      <w:r>
        <w:rPr>
          <w:noProof/>
          <w:lang w:val="en-US"/>
        </w:rPr>
        <w:drawing>
          <wp:anchor distT="0" distB="0" distL="114300" distR="114300" simplePos="0" relativeHeight="251670016" behindDoc="0" locked="0" layoutInCell="1" allowOverlap="1" wp14:anchorId="43F4551B" wp14:editId="0F71B86A">
            <wp:simplePos x="0" y="0"/>
            <wp:positionH relativeFrom="column">
              <wp:posOffset>1047750</wp:posOffset>
            </wp:positionH>
            <wp:positionV relativeFrom="paragraph">
              <wp:posOffset>1905</wp:posOffset>
            </wp:positionV>
            <wp:extent cx="4584700" cy="2755900"/>
            <wp:effectExtent l="0" t="0" r="0" b="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5E7" w:rsidRDefault="008F35E7" w:rsidP="008F35E7">
      <w:pPr>
        <w:pStyle w:val="Bezrazmaka"/>
        <w:jc w:val="both"/>
      </w:pPr>
    </w:p>
    <w:p w:rsidR="00211F4B" w:rsidRDefault="00211F4B" w:rsidP="008F35E7">
      <w:pPr>
        <w:pStyle w:val="Bezrazmaka"/>
        <w:jc w:val="both"/>
      </w:pPr>
    </w:p>
    <w:p w:rsidR="00211F4B" w:rsidRDefault="00211F4B" w:rsidP="008F35E7">
      <w:pPr>
        <w:pStyle w:val="Bezrazmaka"/>
        <w:jc w:val="both"/>
      </w:pPr>
    </w:p>
    <w:p w:rsidR="00211F4B" w:rsidRDefault="00211F4B" w:rsidP="008F35E7">
      <w:pPr>
        <w:pStyle w:val="Bezrazmaka"/>
        <w:jc w:val="both"/>
      </w:pPr>
    </w:p>
    <w:p w:rsidR="00211F4B" w:rsidRDefault="00211F4B" w:rsidP="008F35E7">
      <w:pPr>
        <w:pStyle w:val="Bezrazmaka"/>
        <w:jc w:val="both"/>
      </w:pPr>
    </w:p>
    <w:p w:rsidR="00211F4B" w:rsidRDefault="00211F4B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Default="008F35E7" w:rsidP="008F35E7">
      <w:pPr>
        <w:pStyle w:val="Bezrazmaka"/>
        <w:jc w:val="both"/>
      </w:pPr>
    </w:p>
    <w:p w:rsidR="008F35E7" w:rsidRPr="008F35E7" w:rsidRDefault="008F35E7" w:rsidP="008F35E7">
      <w:pPr>
        <w:pStyle w:val="Bezrazmaka"/>
        <w:jc w:val="both"/>
      </w:pPr>
    </w:p>
    <w:p w:rsidR="00211F4B" w:rsidRDefault="00211F4B" w:rsidP="00211F4B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</w:t>
      </w:r>
      <w:r>
        <w:rPr>
          <w:rFonts w:ascii="Tahoma" w:hAnsi="Tahoma" w:cs="Tahoma"/>
        </w:rPr>
        <w:t>arcelama gde je predusev suncokret</w:t>
      </w:r>
      <w:r>
        <w:rPr>
          <w:rFonts w:ascii="Tahoma" w:hAnsi="Tahoma" w:cs="Tahoma"/>
        </w:rPr>
        <w:t xml:space="preserve"> potrebno je za prihranu upotrebiti</w:t>
      </w:r>
      <w:r w:rsidR="001E3653">
        <w:rPr>
          <w:rFonts w:ascii="Tahoma" w:hAnsi="Tahoma" w:cs="Tahoma"/>
        </w:rPr>
        <w:t xml:space="preserve"> od 7-108</w:t>
      </w:r>
      <w:r>
        <w:rPr>
          <w:rFonts w:ascii="Tahoma" w:hAnsi="Tahoma" w:cs="Tahoma"/>
        </w:rPr>
        <w:t xml:space="preserve"> kg čistog azota po ha, a prosečno oko</w:t>
      </w:r>
      <w:r w:rsidR="001E3653">
        <w:rPr>
          <w:rFonts w:ascii="Tahoma" w:hAnsi="Tahoma" w:cs="Tahoma"/>
        </w:rPr>
        <w:t xml:space="preserve"> 75</w:t>
      </w:r>
      <w:r w:rsidR="009C6B52">
        <w:rPr>
          <w:rFonts w:ascii="Tahoma" w:hAnsi="Tahoma" w:cs="Tahoma"/>
        </w:rPr>
        <w:t xml:space="preserve"> kg</w:t>
      </w:r>
      <w:r w:rsidR="006E2204">
        <w:rPr>
          <w:rFonts w:ascii="Tahoma" w:hAnsi="Tahoma" w:cs="Tahoma"/>
        </w:rPr>
        <w:t>.</w:t>
      </w:r>
      <w:r w:rsidR="009C6B52">
        <w:rPr>
          <w:rFonts w:ascii="Tahoma" w:hAnsi="Tahoma" w:cs="Tahoma"/>
        </w:rPr>
        <w:t xml:space="preserve"> </w:t>
      </w:r>
      <w:r w:rsidR="006E2204">
        <w:rPr>
          <w:rFonts w:ascii="Tahoma" w:hAnsi="Tahoma" w:cs="Tahoma"/>
        </w:rPr>
        <w:t xml:space="preserve">Protekle </w:t>
      </w:r>
      <w:r w:rsidR="009C6B52">
        <w:rPr>
          <w:rFonts w:ascii="Tahoma" w:hAnsi="Tahoma" w:cs="Tahoma"/>
        </w:rPr>
        <w:t>godine trebalo je u proseku primeniti 50 kg čistog N/ha.</w:t>
      </w:r>
    </w:p>
    <w:p w:rsidR="001E3653" w:rsidRDefault="001E3653" w:rsidP="00211F4B">
      <w:pPr>
        <w:pStyle w:val="Bezrazmaka"/>
        <w:ind w:firstLine="708"/>
        <w:jc w:val="both"/>
        <w:rPr>
          <w:rFonts w:ascii="Tahoma" w:hAnsi="Tahoma" w:cs="Tahoma"/>
        </w:rPr>
      </w:pPr>
    </w:p>
    <w:p w:rsidR="001E3653" w:rsidRDefault="006451FD" w:rsidP="006451FD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grafikonu 6. prikazan je </w:t>
      </w:r>
      <w:r w:rsidR="001E3653">
        <w:rPr>
          <w:rFonts w:ascii="Tahoma" w:hAnsi="Tahoma" w:cs="Tahoma"/>
        </w:rPr>
        <w:t xml:space="preserve">sadržaj čistog azota u kg/ha u nitratnom obliku po slojevima zemljišta, na parcelama zasejanim pšenicom gde je predusev </w:t>
      </w:r>
      <w:r w:rsidR="001E3653">
        <w:rPr>
          <w:rFonts w:ascii="Tahoma" w:hAnsi="Tahoma" w:cs="Tahoma"/>
        </w:rPr>
        <w:t>uljana repica</w:t>
      </w:r>
      <w:r w:rsidR="001E3653">
        <w:rPr>
          <w:rFonts w:ascii="Tahoma" w:hAnsi="Tahoma" w:cs="Tahoma"/>
        </w:rPr>
        <w:t xml:space="preserve">, kao i potrebne količine azota u kg/ha za prihranu </w:t>
      </w:r>
    </w:p>
    <w:p w:rsidR="00D85267" w:rsidRDefault="00D85267" w:rsidP="006451FD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Grafikon 6.</w:t>
      </w:r>
    </w:p>
    <w:p w:rsidR="006451FD" w:rsidRDefault="001E3653" w:rsidP="006451FD">
      <w:pPr>
        <w:pStyle w:val="Bezrazmaka"/>
        <w:ind w:firstLine="708"/>
        <w:jc w:val="both"/>
        <w:rPr>
          <w:rFonts w:ascii="Tahoma" w:hAnsi="Tahoma" w:cs="Tahoma"/>
          <w:b/>
          <w:bCs/>
          <w:noProof/>
          <w:sz w:val="28"/>
          <w:szCs w:val="28"/>
          <w:lang w:val="en-US"/>
        </w:rPr>
      </w:pPr>
      <w:r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71040" behindDoc="0" locked="0" layoutInCell="1" allowOverlap="1" wp14:anchorId="3AB49058" wp14:editId="3C1243A1">
            <wp:simplePos x="0" y="0"/>
            <wp:positionH relativeFrom="column">
              <wp:posOffset>1049655</wp:posOffset>
            </wp:positionH>
            <wp:positionV relativeFrom="paragraph">
              <wp:posOffset>184150</wp:posOffset>
            </wp:positionV>
            <wp:extent cx="4584700" cy="2755900"/>
            <wp:effectExtent l="0" t="0" r="0" b="0"/>
            <wp:wrapNone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653" w:rsidRDefault="001E3653" w:rsidP="006451FD">
      <w:pPr>
        <w:pStyle w:val="Bezrazmaka"/>
        <w:ind w:firstLine="708"/>
        <w:jc w:val="both"/>
        <w:rPr>
          <w:rFonts w:ascii="Tahoma" w:hAnsi="Tahoma" w:cs="Tahoma"/>
          <w:b/>
          <w:bCs/>
          <w:noProof/>
          <w:sz w:val="28"/>
          <w:szCs w:val="28"/>
          <w:lang w:val="en-US"/>
        </w:rPr>
      </w:pPr>
    </w:p>
    <w:p w:rsidR="001E3653" w:rsidRDefault="001E3653" w:rsidP="006451FD">
      <w:pPr>
        <w:pStyle w:val="Bezrazmaka"/>
        <w:ind w:firstLine="708"/>
        <w:jc w:val="both"/>
        <w:rPr>
          <w:rFonts w:ascii="Tahoma" w:hAnsi="Tahoma" w:cs="Tahoma"/>
          <w:b/>
          <w:bCs/>
          <w:noProof/>
          <w:sz w:val="28"/>
          <w:szCs w:val="28"/>
          <w:lang w:val="en-US"/>
        </w:rPr>
      </w:pPr>
    </w:p>
    <w:p w:rsidR="001E3653" w:rsidRDefault="001E3653" w:rsidP="006451FD">
      <w:pPr>
        <w:pStyle w:val="Bezrazmaka"/>
        <w:ind w:firstLine="708"/>
        <w:jc w:val="both"/>
        <w:rPr>
          <w:rFonts w:ascii="Tahoma" w:hAnsi="Tahoma" w:cs="Tahoma"/>
        </w:rPr>
      </w:pPr>
    </w:p>
    <w:p w:rsidR="006451FD" w:rsidRDefault="006451FD" w:rsidP="006451FD">
      <w:pPr>
        <w:pStyle w:val="Bezrazmaka"/>
        <w:ind w:firstLine="708"/>
        <w:jc w:val="both"/>
        <w:rPr>
          <w:rFonts w:ascii="Tahoma" w:hAnsi="Tahoma" w:cs="Tahoma"/>
        </w:rPr>
      </w:pPr>
    </w:p>
    <w:p w:rsidR="00B967F7" w:rsidRDefault="00B967F7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B967F7" w:rsidRDefault="00B967F7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B967F7" w:rsidRDefault="00B967F7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6451FD" w:rsidRDefault="006451FD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6451FD" w:rsidRDefault="006451FD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6451FD" w:rsidRDefault="006451FD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1E3653">
      <w:pPr>
        <w:pStyle w:val="Bezrazmaka"/>
        <w:ind w:firstLine="708"/>
        <w:jc w:val="both"/>
        <w:rPr>
          <w:rFonts w:ascii="Tahoma" w:hAnsi="Tahoma" w:cs="Tahoma"/>
        </w:rPr>
      </w:pPr>
    </w:p>
    <w:p w:rsidR="001E3653" w:rsidRDefault="001E3653" w:rsidP="001E3653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parcelama gde je predusev </w:t>
      </w:r>
      <w:r>
        <w:rPr>
          <w:rFonts w:ascii="Tahoma" w:hAnsi="Tahoma" w:cs="Tahoma"/>
        </w:rPr>
        <w:t>uljana repica</w:t>
      </w:r>
      <w:r>
        <w:rPr>
          <w:rFonts w:ascii="Tahoma" w:hAnsi="Tahoma" w:cs="Tahoma"/>
        </w:rPr>
        <w:t xml:space="preserve"> potrebno je za prihranu upotrebiti od 7-10</w:t>
      </w:r>
      <w:r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kg čistog azota po ha, a prosečno oko </w:t>
      </w:r>
      <w:r>
        <w:rPr>
          <w:rFonts w:ascii="Tahoma" w:hAnsi="Tahoma" w:cs="Tahoma"/>
        </w:rPr>
        <w:t>69</w:t>
      </w:r>
      <w:r w:rsidR="009C6B52">
        <w:rPr>
          <w:rFonts w:ascii="Tahoma" w:hAnsi="Tahoma" w:cs="Tahoma"/>
        </w:rPr>
        <w:t xml:space="preserve"> kg, dok je prošle godine trebalo primeniti u proseku 36 kg čistog azota po ha.</w:t>
      </w:r>
    </w:p>
    <w:p w:rsidR="005B6069" w:rsidRDefault="005B6069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5B6069" w:rsidRDefault="005B6069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1E3653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Na grafikonu 7</w:t>
      </w:r>
      <w:r>
        <w:rPr>
          <w:rFonts w:ascii="Tahoma" w:hAnsi="Tahoma" w:cs="Tahoma"/>
        </w:rPr>
        <w:t xml:space="preserve">. prikazan je sadržaj čistog azota u kg/ha u nitratnom obliku po slojevima zemljišta, na parcelama zasejanim pšenicom </w:t>
      </w:r>
      <w:r>
        <w:rPr>
          <w:rFonts w:ascii="Tahoma" w:hAnsi="Tahoma" w:cs="Tahoma"/>
        </w:rPr>
        <w:t>u monokulturi</w:t>
      </w:r>
      <w:r>
        <w:rPr>
          <w:rFonts w:ascii="Tahoma" w:hAnsi="Tahoma" w:cs="Tahoma"/>
        </w:rPr>
        <w:t xml:space="preserve">, kao i potrebne količine azota u kg/ha za prihranu </w:t>
      </w:r>
    </w:p>
    <w:p w:rsidR="001E3653" w:rsidRDefault="001E3653" w:rsidP="001E3653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Grafikon 7</w:t>
      </w:r>
      <w:r>
        <w:rPr>
          <w:rFonts w:ascii="Tahoma" w:hAnsi="Tahoma" w:cs="Tahoma"/>
        </w:rPr>
        <w:t>.</w:t>
      </w:r>
    </w:p>
    <w:p w:rsidR="005B6069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72064" behindDoc="0" locked="0" layoutInCell="1" allowOverlap="1" wp14:anchorId="629F3C64" wp14:editId="11DCBD72">
            <wp:simplePos x="0" y="0"/>
            <wp:positionH relativeFrom="column">
              <wp:posOffset>1152525</wp:posOffset>
            </wp:positionH>
            <wp:positionV relativeFrom="paragraph">
              <wp:posOffset>132080</wp:posOffset>
            </wp:positionV>
            <wp:extent cx="4584700" cy="2755900"/>
            <wp:effectExtent l="0" t="0" r="0" b="0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240FF6" w:rsidRDefault="00240FF6" w:rsidP="00240FF6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parcela</w:t>
      </w:r>
      <w:r>
        <w:rPr>
          <w:rFonts w:ascii="Tahoma" w:hAnsi="Tahoma" w:cs="Tahoma"/>
        </w:rPr>
        <w:t>ma gde je pšenica zasejana u monokulturi</w:t>
      </w:r>
      <w:r>
        <w:rPr>
          <w:rFonts w:ascii="Tahoma" w:hAnsi="Tahoma" w:cs="Tahoma"/>
        </w:rPr>
        <w:t xml:space="preserve"> potrebno je za prihranu upotrebiti</w:t>
      </w:r>
      <w:r>
        <w:rPr>
          <w:rFonts w:ascii="Tahoma" w:hAnsi="Tahoma" w:cs="Tahoma"/>
        </w:rPr>
        <w:t xml:space="preserve"> od 38</w:t>
      </w:r>
      <w:r>
        <w:rPr>
          <w:rFonts w:ascii="Tahoma" w:hAnsi="Tahoma" w:cs="Tahoma"/>
        </w:rPr>
        <w:t>-10</w:t>
      </w:r>
      <w:r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kg čistog azota po ha, a prosečno oko </w:t>
      </w:r>
      <w:r>
        <w:rPr>
          <w:rFonts w:ascii="Tahoma" w:hAnsi="Tahoma" w:cs="Tahoma"/>
        </w:rPr>
        <w:t>82</w:t>
      </w:r>
      <w:r>
        <w:rPr>
          <w:rFonts w:ascii="Tahoma" w:hAnsi="Tahoma" w:cs="Tahoma"/>
        </w:rPr>
        <w:t xml:space="preserve"> kg.</w:t>
      </w: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240FF6" w:rsidRPr="002C2263" w:rsidRDefault="00240FF6" w:rsidP="00240FF6">
      <w:pPr>
        <w:pStyle w:val="Pasussalistom"/>
        <w:numPr>
          <w:ilvl w:val="1"/>
          <w:numId w:val="5"/>
        </w:numPr>
        <w:rPr>
          <w:rFonts w:ascii="Tahoma" w:hAnsi="Tahoma" w:cs="Tahoma"/>
          <w:b/>
          <w:bCs/>
        </w:rPr>
      </w:pPr>
      <w:r w:rsidRPr="002C2263">
        <w:rPr>
          <w:rFonts w:ascii="Tahoma" w:hAnsi="Tahoma" w:cs="Tahoma"/>
          <w:b/>
          <w:bCs/>
        </w:rPr>
        <w:t>Ozim</w:t>
      </w:r>
      <w:r>
        <w:rPr>
          <w:rFonts w:ascii="Tahoma" w:hAnsi="Tahoma" w:cs="Tahoma"/>
          <w:b/>
          <w:bCs/>
        </w:rPr>
        <w:t>i ječam</w:t>
      </w:r>
    </w:p>
    <w:p w:rsidR="00240FF6" w:rsidRDefault="00240FF6" w:rsidP="00240FF6">
      <w:pPr>
        <w:pStyle w:val="Bezrazmaka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grafikonu </w:t>
      </w:r>
      <w:r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. prikazan je sadržaj čistog azota u kg/ha u nitratnom obliku po slojevima zemljišta, </w:t>
      </w:r>
      <w:r w:rsidR="006E2204">
        <w:rPr>
          <w:rFonts w:ascii="Tahoma" w:hAnsi="Tahoma" w:cs="Tahoma"/>
        </w:rPr>
        <w:t>na parcelama zasejanim ozimim ječmom</w:t>
      </w:r>
      <w:r>
        <w:rPr>
          <w:rFonts w:ascii="Tahoma" w:hAnsi="Tahoma" w:cs="Tahoma"/>
        </w:rPr>
        <w:t xml:space="preserve">, kao i potrebne količine azota u kg/ha za prihranu </w:t>
      </w:r>
    </w:p>
    <w:p w:rsidR="00240FF6" w:rsidRDefault="00240FF6" w:rsidP="00240FF6">
      <w:pPr>
        <w:pStyle w:val="Bezrazmaka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Grafikon </w:t>
      </w:r>
      <w:r>
        <w:rPr>
          <w:rFonts w:ascii="Tahoma" w:hAnsi="Tahoma" w:cs="Tahoma"/>
        </w:rPr>
        <w:t>8</w:t>
      </w:r>
      <w:r>
        <w:rPr>
          <w:rFonts w:ascii="Tahoma" w:hAnsi="Tahoma" w:cs="Tahoma"/>
        </w:rPr>
        <w:t>.</w:t>
      </w:r>
    </w:p>
    <w:p w:rsidR="00240FF6" w:rsidRDefault="00240FF6" w:rsidP="00240FF6">
      <w:pPr>
        <w:pStyle w:val="Bezrazmaka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73088" behindDoc="0" locked="0" layoutInCell="1" allowOverlap="1" wp14:anchorId="5486048C" wp14:editId="34695177">
            <wp:simplePos x="0" y="0"/>
            <wp:positionH relativeFrom="column">
              <wp:posOffset>1009650</wp:posOffset>
            </wp:positionH>
            <wp:positionV relativeFrom="paragraph">
              <wp:posOffset>121920</wp:posOffset>
            </wp:positionV>
            <wp:extent cx="4584700" cy="2755900"/>
            <wp:effectExtent l="0" t="0" r="0" b="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FF6" w:rsidRDefault="00240FF6" w:rsidP="00240FF6">
      <w:pPr>
        <w:pStyle w:val="Bezrazmaka"/>
        <w:ind w:left="720"/>
        <w:jc w:val="both"/>
        <w:rPr>
          <w:rFonts w:ascii="Tahoma" w:hAnsi="Tahoma" w:cs="Tahoma"/>
        </w:rPr>
      </w:pPr>
    </w:p>
    <w:p w:rsidR="00240FF6" w:rsidRDefault="00240FF6" w:rsidP="00240FF6">
      <w:pPr>
        <w:pStyle w:val="Bezrazmaka"/>
        <w:ind w:left="720"/>
        <w:jc w:val="both"/>
        <w:rPr>
          <w:rFonts w:ascii="Tahoma" w:hAnsi="Tahoma" w:cs="Tahoma"/>
        </w:rPr>
      </w:pPr>
    </w:p>
    <w:p w:rsidR="00240FF6" w:rsidRDefault="00240FF6" w:rsidP="00240FF6">
      <w:pPr>
        <w:pStyle w:val="Bezrazmaka"/>
        <w:ind w:left="720"/>
        <w:jc w:val="both"/>
        <w:rPr>
          <w:rFonts w:ascii="Tahoma" w:hAnsi="Tahoma" w:cs="Tahoma"/>
        </w:rPr>
      </w:pPr>
    </w:p>
    <w:p w:rsidR="00240FF6" w:rsidRDefault="00240FF6" w:rsidP="00240FF6">
      <w:pPr>
        <w:pStyle w:val="Bezrazmaka"/>
        <w:ind w:left="720"/>
        <w:jc w:val="both"/>
        <w:rPr>
          <w:rFonts w:ascii="Tahoma" w:hAnsi="Tahoma" w:cs="Tahoma"/>
        </w:rPr>
      </w:pPr>
    </w:p>
    <w:p w:rsidR="00240FF6" w:rsidRDefault="00240FF6" w:rsidP="00240FF6">
      <w:pPr>
        <w:pStyle w:val="Bezrazmaka"/>
        <w:ind w:left="720"/>
        <w:jc w:val="both"/>
        <w:rPr>
          <w:rFonts w:ascii="Tahoma" w:hAnsi="Tahoma" w:cs="Tahoma"/>
        </w:rPr>
      </w:pPr>
    </w:p>
    <w:p w:rsidR="00240FF6" w:rsidRDefault="00240FF6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1E3653" w:rsidRDefault="001E3653" w:rsidP="00905A91">
      <w:pPr>
        <w:rPr>
          <w:rFonts w:ascii="Tahoma" w:hAnsi="Tahoma" w:cs="Tahoma"/>
          <w:b/>
          <w:bCs/>
          <w:sz w:val="28"/>
          <w:szCs w:val="28"/>
        </w:rPr>
      </w:pPr>
    </w:p>
    <w:p w:rsidR="00240FF6" w:rsidRDefault="00240FF6" w:rsidP="00240FF6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parcelama gde je </w:t>
      </w:r>
      <w:r>
        <w:rPr>
          <w:rFonts w:ascii="Tahoma" w:hAnsi="Tahoma" w:cs="Tahoma"/>
        </w:rPr>
        <w:t>zasejan ozimi ječam</w:t>
      </w:r>
      <w:r>
        <w:rPr>
          <w:rFonts w:ascii="Tahoma" w:hAnsi="Tahoma" w:cs="Tahoma"/>
        </w:rPr>
        <w:t xml:space="preserve"> potrebno je za prihranu upotrebiti od </w:t>
      </w:r>
      <w:r>
        <w:rPr>
          <w:rFonts w:ascii="Tahoma" w:hAnsi="Tahoma" w:cs="Tahoma"/>
        </w:rPr>
        <w:t>0</w:t>
      </w:r>
      <w:r w:rsidR="005F63EF">
        <w:rPr>
          <w:rFonts w:ascii="Tahoma" w:hAnsi="Tahoma" w:cs="Tahoma"/>
        </w:rPr>
        <w:t>-</w:t>
      </w:r>
      <w:r>
        <w:rPr>
          <w:rFonts w:ascii="Tahoma" w:hAnsi="Tahoma" w:cs="Tahoma"/>
        </w:rPr>
        <w:t>86</w:t>
      </w:r>
      <w:r>
        <w:rPr>
          <w:rFonts w:ascii="Tahoma" w:hAnsi="Tahoma" w:cs="Tahoma"/>
        </w:rPr>
        <w:t xml:space="preserve"> kg čistog azota po ha, a prosečno oko </w:t>
      </w:r>
      <w:r>
        <w:rPr>
          <w:rFonts w:ascii="Tahoma" w:hAnsi="Tahoma" w:cs="Tahoma"/>
        </w:rPr>
        <w:t>54</w:t>
      </w:r>
      <w:r>
        <w:rPr>
          <w:rFonts w:ascii="Tahoma" w:hAnsi="Tahoma" w:cs="Tahoma"/>
        </w:rPr>
        <w:t xml:space="preserve"> kg.</w:t>
      </w:r>
    </w:p>
    <w:p w:rsidR="00840217" w:rsidRDefault="00840217" w:rsidP="005F63EF">
      <w:pPr>
        <w:pStyle w:val="Bezrazmaka"/>
        <w:jc w:val="both"/>
        <w:rPr>
          <w:rFonts w:ascii="Tahoma" w:hAnsi="Tahoma" w:cs="Tahoma"/>
        </w:rPr>
      </w:pPr>
    </w:p>
    <w:p w:rsidR="00840217" w:rsidRDefault="00840217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40217" w:rsidRPr="002C2263" w:rsidRDefault="005F63EF" w:rsidP="00840217">
      <w:pPr>
        <w:pStyle w:val="Pasussalistom"/>
        <w:numPr>
          <w:ilvl w:val="1"/>
          <w:numId w:val="5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Uljana repica</w:t>
      </w:r>
    </w:p>
    <w:p w:rsidR="007F6DB4" w:rsidRPr="008F35E7" w:rsidRDefault="007F6DB4" w:rsidP="007F6DB4">
      <w:pPr>
        <w:pStyle w:val="Bezrazmaka"/>
        <w:ind w:firstLine="360"/>
        <w:jc w:val="both"/>
        <w:rPr>
          <w:rFonts w:ascii="Tahoma" w:hAnsi="Tahoma" w:cs="Tahoma"/>
        </w:rPr>
      </w:pPr>
      <w:r w:rsidRPr="008F35E7">
        <w:rPr>
          <w:rFonts w:ascii="Tahoma" w:hAnsi="Tahoma" w:cs="Tahoma"/>
        </w:rPr>
        <w:t xml:space="preserve">Na grafikonu </w:t>
      </w:r>
      <w:r w:rsidR="005F63EF">
        <w:rPr>
          <w:rFonts w:ascii="Tahoma" w:hAnsi="Tahoma" w:cs="Tahoma"/>
        </w:rPr>
        <w:t>9</w:t>
      </w:r>
      <w:r w:rsidRPr="008F35E7">
        <w:rPr>
          <w:rFonts w:ascii="Tahoma" w:hAnsi="Tahoma" w:cs="Tahoma"/>
        </w:rPr>
        <w:t xml:space="preserve"> . prikazana je primena aktivne m</w:t>
      </w:r>
      <w:r w:rsidR="005F63EF">
        <w:rPr>
          <w:rFonts w:ascii="Tahoma" w:hAnsi="Tahoma" w:cs="Tahoma"/>
        </w:rPr>
        <w:t>aterije za osnovno đubrenje uljane repice</w:t>
      </w:r>
      <w:r w:rsidRPr="008F35E7">
        <w:rPr>
          <w:rFonts w:ascii="Tahoma" w:hAnsi="Tahoma" w:cs="Tahoma"/>
        </w:rPr>
        <w:t xml:space="preserve"> u</w:t>
      </w:r>
      <w:r w:rsidR="005F63EF">
        <w:rPr>
          <w:rFonts w:ascii="Tahoma" w:hAnsi="Tahoma" w:cs="Tahoma"/>
        </w:rPr>
        <w:t xml:space="preserve"> kg/ha za proizvodne godine 2021-2023</w:t>
      </w:r>
      <w:r>
        <w:rPr>
          <w:rFonts w:ascii="Tahoma" w:hAnsi="Tahoma" w:cs="Tahoma"/>
        </w:rPr>
        <w:t>.</w:t>
      </w:r>
    </w:p>
    <w:p w:rsidR="007F6DB4" w:rsidRPr="008F35E7" w:rsidRDefault="007F6DB4" w:rsidP="007F6DB4">
      <w:pPr>
        <w:pStyle w:val="Bezrazmaka"/>
        <w:ind w:left="720"/>
        <w:jc w:val="both"/>
        <w:rPr>
          <w:rFonts w:ascii="Tahoma" w:hAnsi="Tahoma" w:cs="Tahoma"/>
        </w:rPr>
      </w:pPr>
      <w:r w:rsidRPr="008F35E7">
        <w:rPr>
          <w:rFonts w:ascii="Tahoma" w:hAnsi="Tahoma" w:cs="Tahoma"/>
        </w:rPr>
        <w:t xml:space="preserve">Grafikon </w:t>
      </w:r>
      <w:r w:rsidR="005F63EF">
        <w:rPr>
          <w:rFonts w:ascii="Tahoma" w:hAnsi="Tahoma" w:cs="Tahoma"/>
        </w:rPr>
        <w:t>9</w:t>
      </w:r>
      <w:r w:rsidRPr="008F35E7">
        <w:rPr>
          <w:rFonts w:ascii="Tahoma" w:hAnsi="Tahoma" w:cs="Tahoma"/>
        </w:rPr>
        <w:t>.</w:t>
      </w:r>
    </w:p>
    <w:p w:rsidR="00840217" w:rsidRDefault="005F63EF" w:rsidP="0026260E">
      <w:pPr>
        <w:pStyle w:val="Bezrazmaka"/>
        <w:ind w:firstLine="708"/>
        <w:jc w:val="both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4112" behindDoc="0" locked="0" layoutInCell="1" allowOverlap="1" wp14:anchorId="0AE03B86" wp14:editId="575848EA">
            <wp:simplePos x="0" y="0"/>
            <wp:positionH relativeFrom="column">
              <wp:posOffset>1190625</wp:posOffset>
            </wp:positionH>
            <wp:positionV relativeFrom="paragraph">
              <wp:posOffset>144145</wp:posOffset>
            </wp:positionV>
            <wp:extent cx="4572000" cy="2743200"/>
            <wp:effectExtent l="0" t="0" r="0" b="0"/>
            <wp:wrapNone/>
            <wp:docPr id="28" name="Grafikon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7F6DB4" w:rsidRDefault="007F6DB4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5F63EF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Slično kao i kod pšenice, primetna je tendencija opadanja primenjenih količina mineralnih đubriva pod osnovnu obradu</w:t>
      </w:r>
    </w:p>
    <w:p w:rsidR="005F63EF" w:rsidRDefault="005F63EF" w:rsidP="005F63EF">
      <w:pPr>
        <w:pStyle w:val="Bezrazmaka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grafikonu </w:t>
      </w:r>
      <w:r>
        <w:rPr>
          <w:rFonts w:ascii="Tahoma" w:hAnsi="Tahoma" w:cs="Tahoma"/>
        </w:rPr>
        <w:t>10</w:t>
      </w:r>
      <w:r>
        <w:rPr>
          <w:rFonts w:ascii="Tahoma" w:hAnsi="Tahoma" w:cs="Tahoma"/>
        </w:rPr>
        <w:t>. prikazan je prosečni sadržaj nitratnog azota na parcelama zasejanim pšenicom u periodu od 2021.-2023. godine.</w:t>
      </w:r>
    </w:p>
    <w:p w:rsidR="005F63EF" w:rsidRDefault="005F63EF" w:rsidP="005F63EF">
      <w:pPr>
        <w:pStyle w:val="Bezrazmaka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Grafikon </w:t>
      </w:r>
      <w:r>
        <w:rPr>
          <w:rFonts w:ascii="Tahoma" w:hAnsi="Tahoma" w:cs="Tahoma"/>
        </w:rPr>
        <w:t>10</w:t>
      </w:r>
      <w:r>
        <w:rPr>
          <w:rFonts w:ascii="Tahoma" w:hAnsi="Tahoma" w:cs="Tahoma"/>
        </w:rPr>
        <w:t>.</w:t>
      </w:r>
    </w:p>
    <w:p w:rsidR="005F63EF" w:rsidRDefault="005F63EF" w:rsidP="005F63EF">
      <w:pPr>
        <w:pStyle w:val="Bezrazmaka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75136" behindDoc="0" locked="0" layoutInCell="1" allowOverlap="1" wp14:anchorId="49731C9A" wp14:editId="601D2193">
            <wp:simplePos x="0" y="0"/>
            <wp:positionH relativeFrom="column">
              <wp:posOffset>1085850</wp:posOffset>
            </wp:positionH>
            <wp:positionV relativeFrom="paragraph">
              <wp:posOffset>111760</wp:posOffset>
            </wp:positionV>
            <wp:extent cx="4584700" cy="2755900"/>
            <wp:effectExtent l="0" t="0" r="0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3EF" w:rsidRDefault="005F63EF" w:rsidP="005F63EF">
      <w:pPr>
        <w:pStyle w:val="Bezrazmaka"/>
        <w:ind w:firstLine="360"/>
        <w:jc w:val="both"/>
        <w:rPr>
          <w:rFonts w:ascii="Tahoma" w:hAnsi="Tahoma" w:cs="Tahoma"/>
        </w:rPr>
      </w:pPr>
    </w:p>
    <w:p w:rsidR="005F63EF" w:rsidRDefault="005F63EF" w:rsidP="005F63EF">
      <w:pPr>
        <w:pStyle w:val="Bezrazmaka"/>
        <w:ind w:firstLine="360"/>
        <w:jc w:val="both"/>
        <w:rPr>
          <w:rFonts w:ascii="Tahoma" w:hAnsi="Tahoma" w:cs="Tahoma"/>
        </w:rPr>
      </w:pPr>
    </w:p>
    <w:p w:rsidR="005F63EF" w:rsidRPr="00B967F7" w:rsidRDefault="005F63EF" w:rsidP="005F63EF">
      <w:pPr>
        <w:pStyle w:val="Bezrazmaka"/>
        <w:ind w:firstLine="360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F8216B" w:rsidRDefault="00F8216B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Kada se sagledaju podaci sa grafikona, može se videti da je sadržaj azota u nitratnom obliku na parcelama zasejanim uljanom repicom ove godine svega oko 50 kg/ha, dok je 2021. godine iznosio lak 180 kg/ha. Dva sušna leta i osustvo mineralizacije u velikoj meri doprinose ovakvoj slici.</w:t>
      </w: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5F63EF">
      <w:pPr>
        <w:pStyle w:val="Bezrazmaka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Na grafikonu </w:t>
      </w:r>
      <w:r>
        <w:rPr>
          <w:rFonts w:ascii="Tahoma" w:hAnsi="Tahoma" w:cs="Tahoma"/>
        </w:rPr>
        <w:t>11</w:t>
      </w:r>
      <w:r>
        <w:rPr>
          <w:rFonts w:ascii="Tahoma" w:hAnsi="Tahoma" w:cs="Tahoma"/>
        </w:rPr>
        <w:t xml:space="preserve">. prikazan je sadržaj čistog azota u kg/ha u nitratnom obliku po slojevima zemljišta, na parcelama zasejanim </w:t>
      </w:r>
      <w:r w:rsidR="00805751">
        <w:rPr>
          <w:rFonts w:ascii="Tahoma" w:hAnsi="Tahoma" w:cs="Tahoma"/>
        </w:rPr>
        <w:t>uljanom repicom</w:t>
      </w:r>
      <w:r>
        <w:rPr>
          <w:rFonts w:ascii="Tahoma" w:hAnsi="Tahoma" w:cs="Tahoma"/>
        </w:rPr>
        <w:t xml:space="preserve">, kao i potrebne količine azota u kg/ha za prihranu </w:t>
      </w:r>
    </w:p>
    <w:p w:rsidR="005F63EF" w:rsidRDefault="005F63EF" w:rsidP="005F63EF">
      <w:pPr>
        <w:pStyle w:val="Bezrazmaka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Grafikon </w:t>
      </w:r>
      <w:r w:rsidR="00805751">
        <w:rPr>
          <w:rFonts w:ascii="Tahoma" w:hAnsi="Tahoma" w:cs="Tahoma"/>
        </w:rPr>
        <w:t>11</w:t>
      </w:r>
      <w:r>
        <w:rPr>
          <w:rFonts w:ascii="Tahoma" w:hAnsi="Tahoma" w:cs="Tahoma"/>
        </w:rPr>
        <w:t>.</w:t>
      </w:r>
    </w:p>
    <w:p w:rsidR="00805751" w:rsidRDefault="00805751" w:rsidP="005F63EF">
      <w:pPr>
        <w:pStyle w:val="Bezrazmaka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76160" behindDoc="0" locked="0" layoutInCell="1" allowOverlap="1" wp14:anchorId="38677CDE" wp14:editId="752E2B75">
            <wp:simplePos x="0" y="0"/>
            <wp:positionH relativeFrom="column">
              <wp:posOffset>1085850</wp:posOffset>
            </wp:positionH>
            <wp:positionV relativeFrom="paragraph">
              <wp:posOffset>160655</wp:posOffset>
            </wp:positionV>
            <wp:extent cx="4578350" cy="2755900"/>
            <wp:effectExtent l="0" t="0" r="0" b="0"/>
            <wp:wrapNone/>
            <wp:docPr id="2049" name="Slika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51" w:rsidRDefault="00805751" w:rsidP="005F63EF">
      <w:pPr>
        <w:pStyle w:val="Bezrazmaka"/>
        <w:ind w:left="720"/>
        <w:jc w:val="both"/>
        <w:rPr>
          <w:rFonts w:ascii="Tahoma" w:hAnsi="Tahoma" w:cs="Tahoma"/>
        </w:rPr>
      </w:pPr>
    </w:p>
    <w:p w:rsidR="00805751" w:rsidRDefault="00805751" w:rsidP="005F63EF">
      <w:pPr>
        <w:pStyle w:val="Bezrazmaka"/>
        <w:ind w:left="720"/>
        <w:jc w:val="both"/>
        <w:rPr>
          <w:rFonts w:ascii="Tahoma" w:hAnsi="Tahoma" w:cs="Tahoma"/>
        </w:rPr>
      </w:pPr>
    </w:p>
    <w:p w:rsidR="00805751" w:rsidRDefault="00805751" w:rsidP="005F63EF">
      <w:pPr>
        <w:pStyle w:val="Bezrazmaka"/>
        <w:ind w:left="720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5F63EF" w:rsidRDefault="005F63EF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805751" w:rsidRDefault="00805751" w:rsidP="00805751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parcelama gde je zasejan</w:t>
      </w:r>
      <w:r>
        <w:rPr>
          <w:rFonts w:ascii="Tahoma" w:hAnsi="Tahoma" w:cs="Tahoma"/>
        </w:rPr>
        <w:t>a uljana repica</w:t>
      </w:r>
      <w:r>
        <w:rPr>
          <w:rFonts w:ascii="Tahoma" w:hAnsi="Tahoma" w:cs="Tahoma"/>
        </w:rPr>
        <w:t xml:space="preserve"> potrebno je za prihranu upotrebiti od 0-</w:t>
      </w:r>
      <w:r>
        <w:rPr>
          <w:rFonts w:ascii="Tahoma" w:hAnsi="Tahoma" w:cs="Tahoma"/>
        </w:rPr>
        <w:t>16</w:t>
      </w:r>
      <w:r>
        <w:rPr>
          <w:rFonts w:ascii="Tahoma" w:hAnsi="Tahoma" w:cs="Tahoma"/>
        </w:rPr>
        <w:t xml:space="preserve">6 kg čistog azota po ha, a prosečno oko </w:t>
      </w:r>
      <w:r>
        <w:rPr>
          <w:rFonts w:ascii="Tahoma" w:hAnsi="Tahoma" w:cs="Tahoma"/>
        </w:rPr>
        <w:t>9</w:t>
      </w:r>
      <w:r>
        <w:rPr>
          <w:rFonts w:ascii="Tahoma" w:hAnsi="Tahoma" w:cs="Tahoma"/>
        </w:rPr>
        <w:t>4 kg.</w:t>
      </w:r>
    </w:p>
    <w:p w:rsidR="00805751" w:rsidRDefault="00805751" w:rsidP="00805751">
      <w:pPr>
        <w:pStyle w:val="Bezrazmaka"/>
        <w:jc w:val="both"/>
        <w:rPr>
          <w:rFonts w:ascii="Tahoma" w:hAnsi="Tahoma" w:cs="Tahoma"/>
        </w:rPr>
      </w:pPr>
    </w:p>
    <w:p w:rsidR="00805751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F8216B" w:rsidRDefault="00805751" w:rsidP="0026260E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Subotica, 13.02.2023</w:t>
      </w:r>
      <w:bookmarkStart w:id="0" w:name="_GoBack"/>
      <w:bookmarkEnd w:id="0"/>
      <w:r w:rsidR="00553948">
        <w:rPr>
          <w:rFonts w:ascii="Tahoma" w:hAnsi="Tahoma" w:cs="Tahoma"/>
        </w:rPr>
        <w:t>.</w:t>
      </w:r>
    </w:p>
    <w:p w:rsidR="00F8216B" w:rsidRDefault="00F8216B" w:rsidP="0026260E">
      <w:pPr>
        <w:pStyle w:val="Bezrazmaka"/>
        <w:ind w:firstLine="708"/>
        <w:jc w:val="both"/>
        <w:rPr>
          <w:rFonts w:ascii="Tahoma" w:hAnsi="Tahoma" w:cs="Tahoma"/>
        </w:rPr>
      </w:pPr>
    </w:p>
    <w:p w:rsidR="00F8216B" w:rsidRPr="005B6069" w:rsidRDefault="00F8216B" w:rsidP="0026260E">
      <w:pPr>
        <w:pStyle w:val="Bezrazmaka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Damir Varga dipl.inž.</w:t>
      </w:r>
    </w:p>
    <w:sectPr w:rsidR="00F8216B" w:rsidRPr="005B6069" w:rsidSect="0012237A">
      <w:footerReference w:type="default" r:id="rId21"/>
      <w:pgSz w:w="12240" w:h="15840" w:code="1"/>
      <w:pgMar w:top="720" w:right="720" w:bottom="720" w:left="720" w:header="708" w:footer="708" w:gutter="0"/>
      <w:pgNumType w:chapStyle="2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74" w:rsidRDefault="00E00B74" w:rsidP="009E6FA3">
      <w:pPr>
        <w:spacing w:after="0" w:line="240" w:lineRule="auto"/>
      </w:pPr>
      <w:r>
        <w:separator/>
      </w:r>
    </w:p>
  </w:endnote>
  <w:endnote w:type="continuationSeparator" w:id="0">
    <w:p w:rsidR="00E00B74" w:rsidRDefault="00E00B74" w:rsidP="009E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3351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026" w:rsidRDefault="00553A39">
        <w:pPr>
          <w:pStyle w:val="Podnojestranice"/>
          <w:jc w:val="right"/>
        </w:pPr>
        <w:r w:rsidRPr="0012237A">
          <w:rPr>
            <w:rFonts w:ascii="Tahoma" w:hAnsi="Tahoma" w:cs="Tahoma"/>
            <w:b/>
            <w:bCs/>
          </w:rPr>
          <w:fldChar w:fldCharType="begin"/>
        </w:r>
        <w:r w:rsidR="00F02026" w:rsidRPr="0012237A">
          <w:rPr>
            <w:rFonts w:ascii="Tahoma" w:hAnsi="Tahoma" w:cs="Tahoma"/>
            <w:b/>
            <w:bCs/>
          </w:rPr>
          <w:instrText xml:space="preserve"> PAGE   \* MERGEFORMAT </w:instrText>
        </w:r>
        <w:r w:rsidRPr="0012237A">
          <w:rPr>
            <w:rFonts w:ascii="Tahoma" w:hAnsi="Tahoma" w:cs="Tahoma"/>
            <w:b/>
            <w:bCs/>
          </w:rPr>
          <w:fldChar w:fldCharType="separate"/>
        </w:r>
        <w:r w:rsidR="00805751">
          <w:rPr>
            <w:rFonts w:ascii="Tahoma" w:hAnsi="Tahoma" w:cs="Tahoma"/>
            <w:b/>
            <w:bCs/>
            <w:noProof/>
          </w:rPr>
          <w:t>7</w:t>
        </w:r>
        <w:r w:rsidRPr="0012237A">
          <w:rPr>
            <w:rFonts w:ascii="Tahoma" w:hAnsi="Tahoma" w:cs="Tahoma"/>
            <w:b/>
            <w:bCs/>
            <w:noProof/>
          </w:rPr>
          <w:fldChar w:fldCharType="end"/>
        </w:r>
      </w:p>
    </w:sdtContent>
  </w:sdt>
  <w:p w:rsidR="00F02026" w:rsidRDefault="00F02026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74" w:rsidRDefault="00E00B74" w:rsidP="009E6FA3">
      <w:pPr>
        <w:spacing w:after="0" w:line="240" w:lineRule="auto"/>
      </w:pPr>
      <w:r>
        <w:separator/>
      </w:r>
    </w:p>
  </w:footnote>
  <w:footnote w:type="continuationSeparator" w:id="0">
    <w:p w:rsidR="00E00B74" w:rsidRDefault="00E00B74" w:rsidP="009E6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F00"/>
    <w:multiLevelType w:val="hybridMultilevel"/>
    <w:tmpl w:val="D4147BBE"/>
    <w:lvl w:ilvl="0" w:tplc="3CD2C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F26E3B"/>
    <w:multiLevelType w:val="multilevel"/>
    <w:tmpl w:val="3D66F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>
    <w:nsid w:val="43B953DD"/>
    <w:multiLevelType w:val="hybridMultilevel"/>
    <w:tmpl w:val="4052D40C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32E80"/>
    <w:multiLevelType w:val="hybridMultilevel"/>
    <w:tmpl w:val="1E6A0DDE"/>
    <w:lvl w:ilvl="0" w:tplc="479A330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C9495A"/>
    <w:multiLevelType w:val="hybridMultilevel"/>
    <w:tmpl w:val="0F2C66A4"/>
    <w:lvl w:ilvl="0" w:tplc="5130330E">
      <w:start w:val="60"/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51D"/>
    <w:rsid w:val="00021959"/>
    <w:rsid w:val="00025B97"/>
    <w:rsid w:val="00070FE1"/>
    <w:rsid w:val="00094C71"/>
    <w:rsid w:val="000D0590"/>
    <w:rsid w:val="00107C72"/>
    <w:rsid w:val="0012237A"/>
    <w:rsid w:val="00132BF1"/>
    <w:rsid w:val="00180FA8"/>
    <w:rsid w:val="001B64B0"/>
    <w:rsid w:val="001C661E"/>
    <w:rsid w:val="001C6EB8"/>
    <w:rsid w:val="001E3653"/>
    <w:rsid w:val="00211F4B"/>
    <w:rsid w:val="00220BA7"/>
    <w:rsid w:val="00240FF6"/>
    <w:rsid w:val="00251024"/>
    <w:rsid w:val="00257984"/>
    <w:rsid w:val="0026260E"/>
    <w:rsid w:val="00263806"/>
    <w:rsid w:val="00267997"/>
    <w:rsid w:val="00274A64"/>
    <w:rsid w:val="00282C66"/>
    <w:rsid w:val="002919C2"/>
    <w:rsid w:val="00295AD7"/>
    <w:rsid w:val="002C17E8"/>
    <w:rsid w:val="002C2263"/>
    <w:rsid w:val="002E6CD2"/>
    <w:rsid w:val="00352720"/>
    <w:rsid w:val="003847C0"/>
    <w:rsid w:val="003A144A"/>
    <w:rsid w:val="003D3567"/>
    <w:rsid w:val="003D6077"/>
    <w:rsid w:val="004107F3"/>
    <w:rsid w:val="00416D48"/>
    <w:rsid w:val="004440F0"/>
    <w:rsid w:val="00471AF1"/>
    <w:rsid w:val="00481BC0"/>
    <w:rsid w:val="004930D6"/>
    <w:rsid w:val="004B4B76"/>
    <w:rsid w:val="004B5AD8"/>
    <w:rsid w:val="004F792E"/>
    <w:rsid w:val="005012D0"/>
    <w:rsid w:val="005245C8"/>
    <w:rsid w:val="00526319"/>
    <w:rsid w:val="00536D0C"/>
    <w:rsid w:val="00544415"/>
    <w:rsid w:val="00553948"/>
    <w:rsid w:val="00553A39"/>
    <w:rsid w:val="00564818"/>
    <w:rsid w:val="005726C4"/>
    <w:rsid w:val="005853AE"/>
    <w:rsid w:val="0059521A"/>
    <w:rsid w:val="005A0C83"/>
    <w:rsid w:val="005B6069"/>
    <w:rsid w:val="005C07D6"/>
    <w:rsid w:val="005D5EF4"/>
    <w:rsid w:val="005E1F9D"/>
    <w:rsid w:val="005F63EF"/>
    <w:rsid w:val="00615198"/>
    <w:rsid w:val="00631747"/>
    <w:rsid w:val="006451FD"/>
    <w:rsid w:val="0065772C"/>
    <w:rsid w:val="00667B8E"/>
    <w:rsid w:val="006E215F"/>
    <w:rsid w:val="006E2204"/>
    <w:rsid w:val="006E7624"/>
    <w:rsid w:val="00735107"/>
    <w:rsid w:val="00755584"/>
    <w:rsid w:val="00762303"/>
    <w:rsid w:val="007914BA"/>
    <w:rsid w:val="007F0E5D"/>
    <w:rsid w:val="007F27F3"/>
    <w:rsid w:val="007F58DE"/>
    <w:rsid w:val="007F6DB4"/>
    <w:rsid w:val="00805751"/>
    <w:rsid w:val="00805D44"/>
    <w:rsid w:val="00826838"/>
    <w:rsid w:val="0083092A"/>
    <w:rsid w:val="00837460"/>
    <w:rsid w:val="00840217"/>
    <w:rsid w:val="008602A8"/>
    <w:rsid w:val="00870BA2"/>
    <w:rsid w:val="00874E46"/>
    <w:rsid w:val="00875ECF"/>
    <w:rsid w:val="00894775"/>
    <w:rsid w:val="00897875"/>
    <w:rsid w:val="008F300D"/>
    <w:rsid w:val="008F35E7"/>
    <w:rsid w:val="00905A91"/>
    <w:rsid w:val="0092447D"/>
    <w:rsid w:val="00940982"/>
    <w:rsid w:val="00944BAB"/>
    <w:rsid w:val="0097769D"/>
    <w:rsid w:val="009859FD"/>
    <w:rsid w:val="009B6248"/>
    <w:rsid w:val="009C6B52"/>
    <w:rsid w:val="009D567D"/>
    <w:rsid w:val="009E6FA3"/>
    <w:rsid w:val="00A3411E"/>
    <w:rsid w:val="00A42CBE"/>
    <w:rsid w:val="00A50E46"/>
    <w:rsid w:val="00A773E2"/>
    <w:rsid w:val="00A77D5E"/>
    <w:rsid w:val="00A938FE"/>
    <w:rsid w:val="00A95590"/>
    <w:rsid w:val="00AA0061"/>
    <w:rsid w:val="00AB75CA"/>
    <w:rsid w:val="00AC32CA"/>
    <w:rsid w:val="00B05C38"/>
    <w:rsid w:val="00B0754C"/>
    <w:rsid w:val="00B21CC1"/>
    <w:rsid w:val="00B24528"/>
    <w:rsid w:val="00B40012"/>
    <w:rsid w:val="00B40ADA"/>
    <w:rsid w:val="00B5359A"/>
    <w:rsid w:val="00B542A8"/>
    <w:rsid w:val="00B656E0"/>
    <w:rsid w:val="00B743C6"/>
    <w:rsid w:val="00B967F7"/>
    <w:rsid w:val="00BA141D"/>
    <w:rsid w:val="00BB0244"/>
    <w:rsid w:val="00BC1DD0"/>
    <w:rsid w:val="00BC5110"/>
    <w:rsid w:val="00BE2FF1"/>
    <w:rsid w:val="00C107E5"/>
    <w:rsid w:val="00C13AB3"/>
    <w:rsid w:val="00C45E2C"/>
    <w:rsid w:val="00C7622C"/>
    <w:rsid w:val="00C93A74"/>
    <w:rsid w:val="00CC751D"/>
    <w:rsid w:val="00CD0EB2"/>
    <w:rsid w:val="00CE6375"/>
    <w:rsid w:val="00CF7420"/>
    <w:rsid w:val="00D51F1D"/>
    <w:rsid w:val="00D601E0"/>
    <w:rsid w:val="00D63793"/>
    <w:rsid w:val="00D7047C"/>
    <w:rsid w:val="00D7775A"/>
    <w:rsid w:val="00D85267"/>
    <w:rsid w:val="00DD213C"/>
    <w:rsid w:val="00DE5427"/>
    <w:rsid w:val="00E00B74"/>
    <w:rsid w:val="00E12500"/>
    <w:rsid w:val="00E33B01"/>
    <w:rsid w:val="00E362EE"/>
    <w:rsid w:val="00E51148"/>
    <w:rsid w:val="00E51980"/>
    <w:rsid w:val="00EA1D31"/>
    <w:rsid w:val="00EA4971"/>
    <w:rsid w:val="00EB5C75"/>
    <w:rsid w:val="00F0196E"/>
    <w:rsid w:val="00F02026"/>
    <w:rsid w:val="00F25FE0"/>
    <w:rsid w:val="00F27EF0"/>
    <w:rsid w:val="00F50B94"/>
    <w:rsid w:val="00F525DC"/>
    <w:rsid w:val="00F57EF5"/>
    <w:rsid w:val="00F66771"/>
    <w:rsid w:val="00F8216B"/>
    <w:rsid w:val="00F9445C"/>
    <w:rsid w:val="00FA543B"/>
    <w:rsid w:val="00F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EB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Default">
    <w:name w:val="Default"/>
    <w:rsid w:val="00021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ezrazmaka">
    <w:name w:val="No Spacing"/>
    <w:uiPriority w:val="1"/>
    <w:qFormat/>
    <w:rsid w:val="00021959"/>
    <w:pPr>
      <w:spacing w:after="0" w:line="240" w:lineRule="auto"/>
    </w:pPr>
  </w:style>
  <w:style w:type="paragraph" w:styleId="Zaglavljestranice">
    <w:name w:val="header"/>
    <w:basedOn w:val="Normal"/>
    <w:link w:val="ZaglavljestraniceChar"/>
    <w:uiPriority w:val="99"/>
    <w:unhideWhenUsed/>
    <w:rsid w:val="009E6FA3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9E6FA3"/>
  </w:style>
  <w:style w:type="paragraph" w:styleId="Podnojestranice">
    <w:name w:val="footer"/>
    <w:basedOn w:val="Normal"/>
    <w:link w:val="PodnojestraniceChar"/>
    <w:uiPriority w:val="99"/>
    <w:unhideWhenUsed/>
    <w:rsid w:val="009E6FA3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9E6FA3"/>
  </w:style>
  <w:style w:type="character" w:styleId="Hiperveza">
    <w:name w:val="Hyperlink"/>
    <w:basedOn w:val="Podrazumevanifontpasusa"/>
    <w:uiPriority w:val="99"/>
    <w:unhideWhenUsed/>
    <w:rsid w:val="004107F3"/>
    <w:rPr>
      <w:color w:val="0563C1" w:themeColor="hyperlink"/>
      <w:u w:val="single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4107F3"/>
    <w:rPr>
      <w:color w:val="605E5C"/>
      <w:shd w:val="clear" w:color="auto" w:fill="E1DFDD"/>
    </w:rPr>
  </w:style>
  <w:style w:type="table" w:styleId="Koordinatnamreatabele">
    <w:name w:val="Table Grid"/>
    <w:basedOn w:val="Normalnatabela"/>
    <w:uiPriority w:val="39"/>
    <w:rsid w:val="00762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5C07D6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8F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F3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-min\N-min%202023\Statistika\Copy%20of%204%20Nitrachek%202022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N-min\N-min%202023\Statistika\Copy%20of%204%20Nitrachek%202022.xls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-min\N-min%202023\Statistika\4%20Nitrachek%202023%2010.02.2023.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N-min\N-min%202023\Statistika\Copy%20of%204%20Nitrachek%20202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Sheet1!$E$60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Sheet1!$D$61:$D$63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Sheet1!$E$61:$E$63</c:f>
              <c:numCache>
                <c:formatCode>0</c:formatCode>
                <c:ptCount val="3"/>
                <c:pt idx="0">
                  <c:v>28.493623188405849</c:v>
                </c:pt>
                <c:pt idx="1">
                  <c:v>35</c:v>
                </c:pt>
                <c:pt idx="2" formatCode="General">
                  <c:v>44</c:v>
                </c:pt>
              </c:numCache>
            </c:numRef>
          </c:val>
        </c:ser>
        <c:ser>
          <c:idx val="1"/>
          <c:order val="1"/>
          <c:tx>
            <c:strRef>
              <c:f>Sheet1!$F$60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Sheet1!$D$61:$D$63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Sheet1!$F$61:$F$63</c:f>
              <c:numCache>
                <c:formatCode>0</c:formatCode>
                <c:ptCount val="3"/>
                <c:pt idx="0">
                  <c:v>42.159746376811597</c:v>
                </c:pt>
                <c:pt idx="1">
                  <c:v>48</c:v>
                </c:pt>
                <c:pt idx="2" formatCode="General">
                  <c:v>62</c:v>
                </c:pt>
              </c:numCache>
            </c:numRef>
          </c:val>
        </c:ser>
        <c:ser>
          <c:idx val="2"/>
          <c:order val="2"/>
          <c:tx>
            <c:strRef>
              <c:f>Sheet1!$G$60</c:f>
              <c:strCache>
                <c:ptCount val="1"/>
                <c:pt idx="0">
                  <c:v>K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1.111111111111111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-1.3888888888888888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66666666666666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Sheet1!$D$61:$D$63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Sheet1!$G$61:$G$63</c:f>
              <c:numCache>
                <c:formatCode>0</c:formatCode>
                <c:ptCount val="3"/>
                <c:pt idx="0">
                  <c:v>31.090181159420283</c:v>
                </c:pt>
                <c:pt idx="1">
                  <c:v>41</c:v>
                </c:pt>
                <c:pt idx="2" formatCode="General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387328"/>
        <c:axId val="40388864"/>
        <c:axId val="0"/>
      </c:bar3DChart>
      <c:catAx>
        <c:axId val="40387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0388864"/>
        <c:crosses val="autoZero"/>
        <c:auto val="1"/>
        <c:lblAlgn val="ctr"/>
        <c:lblOffset val="100"/>
        <c:noMultiLvlLbl val="0"/>
      </c:catAx>
      <c:valAx>
        <c:axId val="403888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Tahoma" pitchFamily="34" charset="0"/>
                    <a:ea typeface="Tahoma" pitchFamily="34" charset="0"/>
                    <a:cs typeface="Tahoma" pitchFamily="34" charset="0"/>
                  </a:rPr>
                  <a:t>kg/ha</a:t>
                </a:r>
              </a:p>
            </c:rich>
          </c:tx>
          <c:layout/>
          <c:overlay val="0"/>
        </c:title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03873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txPr>
        <a:bodyPr/>
        <a:lstStyle/>
        <a:p>
          <a:pPr>
            <a:defRPr b="1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chemeClr val="accent3">
            <a:lumMod val="60000"/>
            <a:lumOff val="40000"/>
          </a:schemeClr>
        </a:solidFill>
      </c:spPr>
    </c:sideWall>
    <c:backWall>
      <c:thickness val="0"/>
      <c:spPr>
        <a:solidFill>
          <a:schemeClr val="accent3">
            <a:lumMod val="60000"/>
            <a:lumOff val="40000"/>
          </a:schemeClr>
        </a:solidFill>
      </c:spPr>
    </c:backWall>
    <c:plotArea>
      <c:layout>
        <c:manualLayout>
          <c:layoutTarget val="inner"/>
          <c:xMode val="edge"/>
          <c:yMode val="edge"/>
          <c:x val="0.11404396325459318"/>
          <c:y val="2.7777777777777776E-2"/>
          <c:w val="0.83765748031496068"/>
          <c:h val="0.72159922717993585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Sheet1!$E$27</c:f>
              <c:strCache>
                <c:ptCount val="1"/>
                <c:pt idx="0">
                  <c:v>0-30 cm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Sheet1!$D$28:$D$30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Sheet1!$E$28:$E$30</c:f>
              <c:numCache>
                <c:formatCode>0.0</c:formatCode>
                <c:ptCount val="3"/>
                <c:pt idx="0">
                  <c:v>22.77230611602484</c:v>
                </c:pt>
                <c:pt idx="1">
                  <c:v>26.494380385871874</c:v>
                </c:pt>
                <c:pt idx="2">
                  <c:v>34.06934083975078</c:v>
                </c:pt>
              </c:numCache>
            </c:numRef>
          </c:val>
        </c:ser>
        <c:ser>
          <c:idx val="1"/>
          <c:order val="1"/>
          <c:tx>
            <c:strRef>
              <c:f>Sheet1!$F$27</c:f>
              <c:strCache>
                <c:ptCount val="1"/>
                <c:pt idx="0">
                  <c:v>30-60 cm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Sheet1!$D$28:$D$30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Sheet1!$F$28:$F$30</c:f>
              <c:numCache>
                <c:formatCode>0.0</c:formatCode>
                <c:ptCount val="3"/>
                <c:pt idx="0">
                  <c:v>30.52401879757943</c:v>
                </c:pt>
                <c:pt idx="1">
                  <c:v>52.642301717319462</c:v>
                </c:pt>
                <c:pt idx="2">
                  <c:v>67.673921613038885</c:v>
                </c:pt>
              </c:numCache>
            </c:numRef>
          </c:val>
        </c:ser>
        <c:ser>
          <c:idx val="2"/>
          <c:order val="2"/>
          <c:tx>
            <c:strRef>
              <c:f>Sheet1!$G$27</c:f>
              <c:strCache>
                <c:ptCount val="1"/>
                <c:pt idx="0">
                  <c:v>60-90 cm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</c:spPr>
          <c:invertIfNegative val="0"/>
          <c:dLbls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200"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Sheet1!$D$28:$D$30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Sheet1!$G$28:$G$30</c:f>
              <c:numCache>
                <c:formatCode>0.0</c:formatCode>
                <c:ptCount val="3"/>
                <c:pt idx="0">
                  <c:v>44.624443754806542</c:v>
                </c:pt>
                <c:pt idx="1">
                  <c:v>76.396361446238529</c:v>
                </c:pt>
                <c:pt idx="2">
                  <c:v>57.126275053390074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773376"/>
        <c:axId val="110775296"/>
        <c:axId val="0"/>
      </c:bar3DChart>
      <c:catAx>
        <c:axId val="1107733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110775296"/>
        <c:crosses val="autoZero"/>
        <c:auto val="1"/>
        <c:lblAlgn val="ctr"/>
        <c:lblOffset val="100"/>
        <c:noMultiLvlLbl val="0"/>
      </c:catAx>
      <c:valAx>
        <c:axId val="11077529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kg N/ha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1107733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txPr>
        <a:bodyPr/>
        <a:lstStyle/>
        <a:p>
          <a:pPr>
            <a:defRPr b="1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ysClr val="window" lastClr="FFFFFF"/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C000"/>
              </a:solidFill>
            </c:spPr>
          </c:dPt>
          <c:dPt>
            <c:idx val="2"/>
            <c:bubble3D val="0"/>
            <c:spPr>
              <a:solidFill>
                <a:srgbClr val="FFFF00"/>
              </a:solidFill>
            </c:spPr>
          </c:dPt>
          <c:dPt>
            <c:idx val="3"/>
            <c:bubble3D val="0"/>
            <c:spPr>
              <a:solidFill>
                <a:srgbClr val="0070C0"/>
              </a:solidFill>
            </c:spPr>
          </c:dPt>
          <c:dPt>
            <c:idx val="4"/>
            <c:bubble3D val="0"/>
            <c:spPr>
              <a:solidFill>
                <a:srgbClr val="00B050"/>
              </a:solidFill>
            </c:spPr>
          </c:dPt>
          <c:dPt>
            <c:idx val="5"/>
            <c:bubble3D val="0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'[4 Nitrachek 2023 10.02.2023..xls]List1'!$H$9:$H$14</c:f>
              <c:strCache>
                <c:ptCount val="6"/>
                <c:pt idx="0">
                  <c:v>Monokultura</c:v>
                </c:pt>
                <c:pt idx="1">
                  <c:v>Kukuruz</c:v>
                </c:pt>
                <c:pt idx="2">
                  <c:v>Suncokret</c:v>
                </c:pt>
                <c:pt idx="3">
                  <c:v>Šećerna repa</c:v>
                </c:pt>
                <c:pt idx="4">
                  <c:v>Uljana repica</c:v>
                </c:pt>
                <c:pt idx="5">
                  <c:v>Leguminoze</c:v>
                </c:pt>
              </c:strCache>
            </c:strRef>
          </c:cat>
          <c:val>
            <c:numRef>
              <c:f>'[4 Nitrachek 2023 10.02.2023..xls]List1'!$I$9:$I$14</c:f>
              <c:numCache>
                <c:formatCode>0</c:formatCode>
                <c:ptCount val="6"/>
                <c:pt idx="0">
                  <c:v>213.73050000000001</c:v>
                </c:pt>
                <c:pt idx="1">
                  <c:v>1545.5956000000001</c:v>
                </c:pt>
                <c:pt idx="2">
                  <c:v>705.22410000000002</c:v>
                </c:pt>
                <c:pt idx="3">
                  <c:v>51.5625</c:v>
                </c:pt>
                <c:pt idx="4">
                  <c:v>717.4357</c:v>
                </c:pt>
                <c:pt idx="5">
                  <c:v>10.55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12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accent1">
        <a:lumMod val="40000"/>
        <a:lumOff val="60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Sheet1!$E$45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Sheet1!$D$46:$D$48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Sheet1!$E$46:$E$48</c:f>
              <c:numCache>
                <c:formatCode>0</c:formatCode>
                <c:ptCount val="3"/>
                <c:pt idx="0">
                  <c:v>33.41339506172838</c:v>
                </c:pt>
                <c:pt idx="1">
                  <c:v>42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Sheet1!$F$45</c:f>
              <c:strCache>
                <c:ptCount val="1"/>
                <c:pt idx="0">
                  <c:v>P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Sheet1!$D$46:$D$48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Sheet1!$F$46:$F$48</c:f>
              <c:numCache>
                <c:formatCode>0</c:formatCode>
                <c:ptCount val="3"/>
                <c:pt idx="0">
                  <c:v>45.52628395061727</c:v>
                </c:pt>
                <c:pt idx="1">
                  <c:v>55</c:v>
                </c:pt>
                <c:pt idx="2">
                  <c:v>54</c:v>
                </c:pt>
              </c:numCache>
            </c:numRef>
          </c:val>
        </c:ser>
        <c:ser>
          <c:idx val="2"/>
          <c:order val="2"/>
          <c:tx>
            <c:strRef>
              <c:f>Sheet1!$G$45</c:f>
              <c:strCache>
                <c:ptCount val="1"/>
                <c:pt idx="0">
                  <c:v>K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1.6666666666666666E-2"/>
                  <c:y val="4.6296296296296294E-3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ahoma" pitchFamily="34" charset="0"/>
                      <a:ea typeface="Tahoma" pitchFamily="34" charset="0"/>
                      <a:cs typeface="Tahoma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Sheet1!$D$46:$D$48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Sheet1!$G$46:$G$48</c:f>
              <c:numCache>
                <c:formatCode>0</c:formatCode>
                <c:ptCount val="3"/>
                <c:pt idx="0">
                  <c:v>42.127271604938251</c:v>
                </c:pt>
                <c:pt idx="1">
                  <c:v>49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4966528"/>
        <c:axId val="94968064"/>
        <c:axId val="0"/>
      </c:bar3DChart>
      <c:catAx>
        <c:axId val="9496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94968064"/>
        <c:crosses val="autoZero"/>
        <c:auto val="1"/>
        <c:lblAlgn val="ctr"/>
        <c:lblOffset val="100"/>
        <c:noMultiLvlLbl val="0"/>
      </c:catAx>
      <c:valAx>
        <c:axId val="949680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ahoma" pitchFamily="34" charset="0"/>
                    <a:ea typeface="Tahoma" pitchFamily="34" charset="0"/>
                    <a:cs typeface="Tahoma" pitchFamily="34" charset="0"/>
                  </a:defRPr>
                </a:pPr>
                <a:r>
                  <a:rPr lang="en-US">
                    <a:latin typeface="Tahoma" pitchFamily="34" charset="0"/>
                    <a:ea typeface="Tahoma" pitchFamily="34" charset="0"/>
                    <a:cs typeface="Tahoma" pitchFamily="34" charset="0"/>
                  </a:rPr>
                  <a:t>kg/ha</a:t>
                </a:r>
              </a:p>
            </c:rich>
          </c:tx>
          <c:layout/>
          <c:overlay val="0"/>
        </c:title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949665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txPr>
        <a:bodyPr/>
        <a:lstStyle/>
        <a:p>
          <a:pPr>
            <a:defRPr b="1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arij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arija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arij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3EF9-D5AD-4649-BA8B-79066B89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7</Pages>
  <Words>1260</Words>
  <Characters>7187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32</cp:revision>
  <dcterms:created xsi:type="dcterms:W3CDTF">2022-02-15T09:35:00Z</dcterms:created>
  <dcterms:modified xsi:type="dcterms:W3CDTF">2023-02-12T20:18:00Z</dcterms:modified>
</cp:coreProperties>
</file>